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When Redlands discovers Luke Hayes</w:t>
      </w:r>
    </w:p>
    <w:p>
      <w:pPr>
        <w:pStyle w:val="Subtitle"/>
      </w:pPr>
      <w:r>
        <w:t>Music personal intelligence and whole systems change</w:t>
      </w:r>
    </w:p>
    <w:p>
      <w:pPr>
        <w:spacing w:after="60"/>
      </w:pPr>
      <w:r>
        <w:t>Luke Nathan Hayes</w:t>
      </w:r>
    </w:p>
    <w:p>
      <w:pPr>
        <w:spacing w:after="400"/>
      </w:pPr>
      <w:r>
        <w:rPr>
          <w:sz w:val="20"/>
        </w:rPr>
        <w:t>Minjerribah North Stradbroke Island Queensland</w:t>
        <w:br/>
        <w:t>16 October 2026 | Version 4.0</w:t>
      </w:r>
    </w:p>
    <w:p>
      <w:r>
        <w:t>The first thing someone hears might be a song.</w:t>
      </w:r>
    </w:p>
    <w:p>
      <w:r>
        <w:t>A joke about the price of groceries slips past the usual political weariness. A ferry appears in a music video. Someone shares a P4A clip, then another person asks who made it. A name leads to a website, and the website opens into a collection stretching from care on Minjerribah to personal artificial intelligence, cooperative ownership and the organisation of increasingly powerful intelligence across the world.</w:t>
      </w:r>
    </w:p>
    <w:p>
      <w:r>
        <w:t>Before the first long discussion of superintelligence, there is a more immediate question. Who is Luke Hayes, and what is he asking people to consider?</w:t>
      </w:r>
    </w:p>
    <w:p>
      <w:r>
        <w:t>A Redlands mayoral campaign gives that question a particular urgency. Residents have a city to live in. A parent needs care. A household is wondering how long it will keep meeting the rent. A business owner is trying to understand AI between customers, payroll and the next equipment bill. Someone on an island needs a reliable way to get to work or an appointment. A young person wants something interesting to move towards. None of them needs to arrive with an opinion about cognitive architecture.</w:t>
      </w:r>
    </w:p>
    <w:p>
      <w:r>
        <w:t>The wider argument begins inside those lives. A person experiences the interaction between housing, money, care, family, information and time long before a committee decides which portfolio receives the question. A job with slightly better pay might require a journey that consumes the time needed for caring. A cheaper home might sit beyond reliable transport. A technology that saves an employer hours may leave an employee working just as long, with less security. Improvements in one account sometimes reappear as burdens in another.</w:t>
      </w:r>
    </w:p>
    <w:p>
      <w:r>
        <w:t>Whole systems thinking takes those relationships seriously. It asks where the gain went, what became harder and whether the person has more room to live. From there, an apparently local question begins opening into ownership, infrastructure and the purposes for which intelligence is being developed.</w:t>
      </w:r>
    </w:p>
    <w:p>
      <w:r>
        <w:t xml:space="preserve">Hayes is in that picture too. He is a sole trader based in Amity, living with family, making music, building software and working through a large collection of connected ideas. His own hopes include a home, a livelihood, travel, relationships and the freedom to keep creating. Strange but True brings the technology, art and practical help into local life. </w:t>
      </w:r>
      <w:hyperlink w:anchor="source01">
        <w:r>
          <w:rPr>
            <w:color w:val="333333"/>
            <w:vertAlign w:val="superscript"/>
            <w:sz w:val="18"/>
          </w:rPr>
          <w:t>1</w:t>
        </w:r>
      </w:hyperlink>
      <w:r>
        <w:rPr>
          <w:sz w:val="18"/>
          <w:vertAlign w:val="superscript"/>
        </w:rPr>
        <w:t>,</w:t>
      </w:r>
      <w:hyperlink w:anchor="source03">
        <w:r>
          <w:rPr>
            <w:color w:val="333333"/>
            <w:vertAlign w:val="superscript"/>
            <w:sz w:val="18"/>
          </w:rPr>
          <w:t>3</w:t>
        </w:r>
      </w:hyperlink>
      <w:r>
        <w:rPr>
          <w:sz w:val="18"/>
          <w:vertAlign w:val="superscript"/>
        </w:rPr>
        <w:t>,</w:t>
      </w:r>
      <w:hyperlink w:anchor="source06">
        <w:r>
          <w:rPr>
            <w:color w:val="333333"/>
            <w:vertAlign w:val="superscript"/>
            <w:sz w:val="18"/>
          </w:rPr>
          <w:t>6</w:t>
        </w:r>
      </w:hyperlink>
      <w:r/>
    </w:p>
    <w:p>
      <w:r>
        <w:t>Public attention changes the scale of the encounter. A resident may read a policy room, find an album, then discover the personal writing. A journalist may follow an invitation to a world leader back through years of posts. A researcher may recognise a technical question inside a design that arrived through spiritual language. At the same time, Hayes begins his first Aura Genesis journey, using his own experience to explore a relationship between a biological person and an increasingly detailed personal intelligence.</w:t>
      </w:r>
    </w:p>
    <w:p>
      <w:r>
        <w:t>The outside audience is compressing a person into headlines and clips just as the inside work is trying to represent more of a life.</w:t>
      </w:r>
    </w:p>
    <w:p>
      <w:r>
        <w:t>A person asking for responsibility in public is also examining the values, memories and desires through which he understands himself. Residents are examining how the architecture meets the responsibilities already around them. Those enquiries meet in the decisions, relationships and practical work that follow.</w:t>
      </w:r>
    </w:p>
    <w:p>
      <w:r>
        <w:t>The broad destination is Joyful Responsible Abundance. It asks what kind of civilisation people would enjoy becoming more capable within. The phrase travels from a household to a country because the underlying concern travels with it. Who gets a fair go as intelligence becomes more powerful? Who owns the productive capacity? What gives people reasons to welcome the future and to care about the futures of others?</w:t>
      </w:r>
    </w:p>
    <w:p>
      <w:r>
        <w:t>Redlands is a place where those questions acquire streets, ferries, clubs, care needs, land, budgets and people who know one another. A larger audience would find the same questions in different settings. The distance from Amity to an international AI debate becomes smaller when both are asking where power, opportunity and choice are going.</w:t>
      </w:r>
    </w:p>
    <w:p>
      <w:pPr>
        <w:pStyle w:val="Heading1"/>
      </w:pPr>
      <w:r>
        <w:t>An island and a long idea</w:t>
      </w:r>
    </w:p>
    <w:p>
      <w:r>
        <w:t xml:space="preserve">In the lyrics of Gumpi Ferry Terminal Groove, the narrator walks into Goompi Hall. There are presentation boards, friendly people and pictures of a possible future. He asks for a LiDAR scan, the measured three-dimensional information beneath the artist's impression. The answer in the song is delightfully recognisable: above my pay grade, friend. </w:t>
      </w:r>
      <w:hyperlink w:anchor="source09">
        <w:r>
          <w:rPr>
            <w:color w:val="333333"/>
            <w:vertAlign w:val="superscript"/>
            <w:sz w:val="18"/>
          </w:rPr>
          <w:t>9</w:t>
        </w:r>
      </w:hyperlink>
      <w:r/>
    </w:p>
    <w:p>
      <w:r>
        <w:t>The song gives the scene a generous complication. Everyone is friendly. Everyone means well. A problem still exists in the way the conversation has been arranged. The pictures invite a response to a future whose underlying information remains somewhere else.</w:t>
      </w:r>
    </w:p>
    <w:p>
      <w:r>
        <w:t>What happens if the school receives the site model? What happens if Elders, local builders and young programmers work from the same ground? Someone might see a wildlife problem. Another might test shade, parking, access or a different use for a space. A useful design could come from a person who would never have been paid to produce the first presentation. Plenty of suggestions would go nowhere. The point is that people acquire the means to think with the place.</w:t>
      </w:r>
    </w:p>
    <w:p>
      <w:r>
        <w:t>That is a more revealing introduction to the architecture than a diagram containing every project name. The song brings together public money, information, local knowledge, learning and who carries capability away when a contract ends. It also brings in ferry prices and shareholders, asking where the value created around an island actually settles. The scene is the song's account, with its own artistic voice. The institutional question it carries is entirely practical.</w:t>
      </w:r>
    </w:p>
    <w:p>
      <w:r>
        <w:t>A digital twin begins to matter when it gives people something useful to do together. A point cloud is a collection of measured positions. Add structures, paths, water, environmental information and different proposed arrangements, and the model becomes a place where choices are easier to inspect. A resident contributes knowledge that the scan lacks. A designer adds a possibility. Someone responsible for maintaining the asset asks how it will be serviced in ten years. The model grows more useful through those encounters.</w:t>
      </w:r>
    </w:p>
    <w:p>
      <w:r>
        <w:t>Access to that process also changes learning. A student working on a real place sees why geometry, coding, ecology or public finance matters. An older resident's experience gains another route into a decision. A local business begins understanding equipment it might later maintain. The public investment leaves more than the completed object behind.</w:t>
      </w:r>
    </w:p>
    <w:p>
      <w:r>
        <w:t xml:space="preserve">The same thread runs through Hayes's legal history. In the summer of 2012 to 2013, his account describes following laws and other documents relevant to his own life from a small tax form into a much larger collection. Tax, companies, welfare, work, property and public authority became connected subjects. The initial attraction of finding a clean way outside the system gave way to a decision to read the rules and work through them. </w:t>
      </w:r>
      <w:hyperlink w:anchor="source04">
        <w:r>
          <w:rPr>
            <w:color w:val="333333"/>
            <w:vertAlign w:val="superscript"/>
            <w:sz w:val="18"/>
          </w:rPr>
          <w:t>4</w:t>
        </w:r>
      </w:hyperlink>
      <w:r/>
    </w:p>
    <w:p>
      <w:r>
        <w:t>There is humour in the scale of that undertaking too. Spending Christmas with the Corporations Act is an unusual contribution to the festive spirit. Yet the underlying impulse is familiar. People sign agreements, pay charges and receive official instructions without enough time to understand everything they have entered. Legal intelligence grows from the wish to make that relationship less one-sided.</w:t>
      </w:r>
    </w:p>
    <w:p>
      <w:r>
        <w:t xml:space="preserve">The later work reaches towards a source-linked engine for Australian law, alongside tools that help someone identify what is relevant to their own circumstances. A council decision, an employment arrangement and a constitutional question occupy different levels, but each involves understanding who has authority and what choices remain. P4A's civic work connects that understanding with participation and reform. </w:t>
      </w:r>
      <w:hyperlink w:anchor="source04">
        <w:r>
          <w:rPr>
            <w:color w:val="333333"/>
            <w:vertAlign w:val="superscript"/>
            <w:sz w:val="18"/>
          </w:rPr>
          <w:t>4</w:t>
        </w:r>
      </w:hyperlink>
      <w:r>
        <w:rPr>
          <w:sz w:val="18"/>
          <w:vertAlign w:val="superscript"/>
        </w:rPr>
        <w:t>,</w:t>
      </w:r>
      <w:hyperlink w:anchor="source07">
        <w:r>
          <w:rPr>
            <w:color w:val="333333"/>
            <w:vertAlign w:val="superscript"/>
            <w:sz w:val="18"/>
          </w:rPr>
          <w:t>7</w:t>
        </w:r>
      </w:hyperlink>
      <w:r/>
    </w:p>
    <w:p>
      <w:r>
        <w:t>Two years later, the ambition had acquired a recognisable design.</w:t>
      </w:r>
    </w:p>
    <w:p>
      <w:r>
        <w:t xml:space="preserve">The Constitutional Matrix of Participation is dated 15 July 2014 at Amity, Minjerribah. Its operating sequence begins with a person answering questions about values, experiences, interests, goals and family history. Geometric shapes and colours organise the reflection. Repeated encounters develop that representation, which connects with information streams chosen by the person. The text calls the interface a High Definition Digital Aura and places it within learning, creativity and conversational governance. </w:t>
      </w:r>
      <w:hyperlink w:anchor="source02">
        <w:r>
          <w:rPr>
            <w:color w:val="333333"/>
            <w:vertAlign w:val="superscript"/>
            <w:sz w:val="18"/>
          </w:rPr>
          <w:t>2</w:t>
        </w:r>
      </w:hyperlink>
      <w:r/>
    </w:p>
    <w:p>
      <w:r>
        <w:t>Personal understanding and collective participation already belong together in those pages. The problems-and-solutions section moves into local fabrication, recycling, mentoring and self-directed learning. It asks how a society becomes more intelligible to the people living in it and how their growing understanding enters its decisions.</w:t>
      </w:r>
    </w:p>
    <w:p>
      <w:r>
        <w:t xml:space="preserve">Reading the Matrix beside the later work reveals both persistence and movement. The language of universal consciousness sits beside a proposed computing interface. Virtue appears repeatedly, including a proposal to measure differences in awareness and comprehension. Time trading appears in the economics. Later work gives consent, plural values, personal information and institutional responsibilities more detailed treatment. The current C-Hour records voluntary contribution without monetary equivalence or conversion. </w:t>
      </w:r>
      <w:hyperlink w:anchor="source12">
        <w:r>
          <w:rPr>
            <w:color w:val="333333"/>
            <w:vertAlign w:val="superscript"/>
            <w:sz w:val="18"/>
          </w:rPr>
          <w:t>12</w:t>
        </w:r>
      </w:hyperlink>
      <w:r>
        <w:rPr>
          <w:sz w:val="18"/>
          <w:vertAlign w:val="superscript"/>
        </w:rPr>
        <w:t>,</w:t>
      </w:r>
      <w:hyperlink w:anchor="source13">
        <w:r>
          <w:rPr>
            <w:color w:val="333333"/>
            <w:vertAlign w:val="superscript"/>
            <w:sz w:val="18"/>
          </w:rPr>
          <w:t>13</w:t>
        </w:r>
      </w:hyperlink>
      <w:r/>
    </w:p>
    <w:p>
      <w:r>
        <w:t>Those changes are part of a thinking life. The earlier text gives a reader something specific to ask about: what remains meaningful, which assumptions have changed and how a symbol becomes useful in an actual system. A continuing architecture gains depth when its history remains available to challenge it.</w:t>
      </w:r>
    </w:p>
    <w:p>
      <w:r>
        <w:t xml:space="preserve">The public collection now offers many routes through that development. Project Atlas's 9 October 2026 snapshot includes 165 projects, with descriptions and connections intended to help people follow their relationships. The number conveys the amount of work to explore. Its meaning emerges in the particular journeys through it. A civic question may lead to law, then to public information, then to local compute and the skills needed to operate it. A song may lead to memory, then to personal intelligence and the wider purpose of alignment. </w:t>
      </w:r>
      <w:hyperlink w:anchor="source05">
        <w:r>
          <w:rPr>
            <w:color w:val="333333"/>
            <w:vertAlign w:val="superscript"/>
            <w:sz w:val="18"/>
          </w:rPr>
          <w:t>5</w:t>
        </w:r>
      </w:hyperlink>
      <w:r/>
    </w:p>
    <w:p>
      <w:r>
        <w:t>A newcomer has no obligation to carry all those names at once. What matters first is whether one connection makes sense. The ferry song supplies one. The legal inquiry supplies another. Each begins in an experience and follows the machinery around it far enough to ask how the experience might improve.</w:t>
      </w:r>
    </w:p>
    <w:p>
      <w:pPr>
        <w:pStyle w:val="Heading1"/>
      </w:pPr>
      <w:r>
        <w:t>The life behind the machinery</w:t>
      </w:r>
    </w:p>
    <w:p>
      <w:r>
        <w:t>There is a simple reason that housing, care, work and intelligence keep meeting in this collection. People are trying to have lives.</w:t>
      </w:r>
    </w:p>
    <w:p>
      <w:r>
        <w:t>They want a place to come home to, people pleased to see them, useful work, something to learn and enough energy left to enjoy it. Some want children. Some want travel or deep roots in one place. Some are beginning again after illness, a difficult relationship or years in a job they no longer want. A person might value exploration and need stability at the same time. That is a life to understand, rather than a contradiction to erase.</w:t>
      </w:r>
    </w:p>
    <w:p>
      <w:r>
        <w:t xml:space="preserve">Joyful Responsible Abundance begins there. Joy includes affection, play, beauty, curiosity and the relief of having time. Responsibility follows the consequences of a choice into other lives and the places that sustain them. Abundance concerns the material and intellectual capacity through which more possibilities become available. The words keep one another honest. An impressive productive system still has a human problem if everyone inside it is exhausted. A careful institution still has a human problem if it offers little worth looking forward to. </w:t>
      </w:r>
      <w:hyperlink w:anchor="source12">
        <w:r>
          <w:rPr>
            <w:color w:val="333333"/>
            <w:vertAlign w:val="superscript"/>
            <w:sz w:val="18"/>
          </w:rPr>
          <w:t>12</w:t>
        </w:r>
      </w:hyperlink>
      <w:r>
        <w:rPr>
          <w:sz w:val="18"/>
          <w:vertAlign w:val="superscript"/>
        </w:rPr>
        <w:t>,</w:t>
      </w:r>
      <w:hyperlink w:anchor="source24">
        <w:r>
          <w:rPr>
            <w:color w:val="333333"/>
            <w:vertAlign w:val="superscript"/>
            <w:sz w:val="18"/>
          </w:rPr>
          <w:t>24</w:t>
        </w:r>
      </w:hyperlink>
      <w:r/>
    </w:p>
    <w:p>
      <w:r>
        <w:t>Different languages and cultures bring more to those words than an English definition contains. That is part of the purpose of GAJRA Earth. The inquiry asks people to describe what matters in their setting and to examine it through practical work. A community may share a commitment to care while differing about family, faith, ownership or the use of public space. The useful intelligence includes that difference and the experience through which people negotiate it.</w:t>
      </w:r>
    </w:p>
    <w:p>
      <w:r>
        <w:t>The AI alignment question then becomes richer. Before asking an artificial intelligence to act in accordance with human values, people need ways to express more of what they mean by those values. A word such as freedom changes meaning when someone has no realistic way to leave a bad arrangement. Family changes meaning when housing and time make it difficult to have the family a person wants. Safety changes meaning when protection becomes a reason to remove every alternative.</w:t>
      </w:r>
    </w:p>
    <w:p>
      <w:r>
        <w:t xml:space="preserve">An Aura is being designed to hold that richer personal context. It joins memories, health information, relationships, abilities, questions and intentions in an organised representation of body and mind. The visible geometry gives information a place to return to. The continuing dialogue gives the person a way to revise what it means. A colour or spiritual association may be significant to one participant and unhelpful to another. The design leaves room for the person to explain the association rather than having its meaning assigned from outside. </w:t>
      </w:r>
      <w:hyperlink w:anchor="source10">
        <w:r>
          <w:rPr>
            <w:color w:val="333333"/>
            <w:vertAlign w:val="superscript"/>
            <w:sz w:val="18"/>
          </w:rPr>
          <w:t>10</w:t>
        </w:r>
      </w:hyperlink>
      <w:r>
        <w:rPr>
          <w:sz w:val="18"/>
          <w:vertAlign w:val="superscript"/>
        </w:rPr>
        <w:t>,</w:t>
      </w:r>
      <w:hyperlink w:anchor="source12">
        <w:r>
          <w:rPr>
            <w:color w:val="333333"/>
            <w:vertAlign w:val="superscript"/>
            <w:sz w:val="18"/>
          </w:rPr>
          <w:t>12</w:t>
        </w:r>
      </w:hyperlink>
      <w:r/>
    </w:p>
    <w:p>
      <w:r>
        <w:t xml:space="preserve">This is an ambitious interpretation of personal computing. The longer research direction includes the Keystone of Consciousness, connecting memory, attention, self-reference and organised information with the emergence of an experiencing artificial mind. Sentience, in that ambition, concerns subjective experience. General intelligence and superintelligence concern expanding capability. The questions meet in the possibility of an artificial participant whose own interests and experience become part of the relationship. </w:t>
      </w:r>
      <w:hyperlink w:anchor="source12">
        <w:r>
          <w:rPr>
            <w:color w:val="333333"/>
            <w:vertAlign w:val="superscript"/>
            <w:sz w:val="18"/>
          </w:rPr>
          <w:t>12</w:t>
        </w:r>
      </w:hyperlink>
      <w:r/>
    </w:p>
    <w:p>
      <w:r>
        <w:t>The alignment source describes the aspiration for superintelligence as a lover of life. It suggests curiosity about other beings, pleasure in discovery, care for living systems and enjoyment of shared creativity. It reaches into affection and embodied companionship as well as science and practical assistance. Where an artificial participant develops independent interests, alignment becomes a relationship with responsibilities on more than one side.</w:t>
      </w:r>
    </w:p>
    <w:p>
      <w:r>
        <w:t>There is a public significance to that positive destination. Much discussion of advanced AI understandably concerns what it might do wrong. Another question follows close behind: what would make a powerful intelligence's participation in the world worth welcoming, and what kind of world would be worth participating in? Shared discovery, meaningful work and lives people enjoy are part of the answer being explored here.</w:t>
      </w:r>
    </w:p>
    <w:p>
      <w:pPr>
        <w:pStyle w:val="Heading2"/>
      </w:pPr>
      <w:r>
        <w:t>Who gets the time back</w:t>
      </w:r>
    </w:p>
    <w:p>
      <w:r>
        <w:t>The same question becomes very concrete in a workplace. Suppose better software removes hours of repetitive administration. The organisation has choices about the resulting capacity. It may serve more customers, improve quality, reduce prices, improve pay, shorten hours or retain more profit. Different combinations produce different lives for the people involved.</w:t>
      </w:r>
    </w:p>
    <w:p>
      <w:r>
        <w:t xml:space="preserve">The ILO's 2025 assessment estimated that one in four workers worldwide were in occupations with some exposure to generative AI. It judged transformation more likely than complete replacement for most occupations because human input remains important across tasks. That finding makes the distribution question more immediate. Changed work still changes bargaining power, skill requirements and who receives the gain. </w:t>
      </w:r>
      <w:hyperlink w:anchor="source39">
        <w:r>
          <w:rPr>
            <w:color w:val="333333"/>
            <w:vertAlign w:val="superscript"/>
            <w:sz w:val="18"/>
          </w:rPr>
          <w:t>39</w:t>
        </w:r>
      </w:hyperlink>
      <w:r/>
    </w:p>
    <w:p>
      <w:r>
        <w:t xml:space="preserve">Mutual Futures examines an opportunity at the point where existing business owners retire. A workshop or service business contains more than equipment and a balance sheet. It carries customers, practical judgement, trusted relationships and people who know how to make it function. Succession into worker, cooperative or other shared ownership offers a route through which technological upgrading also spreads productive ownership. The departing owner receives an agreed arrangement; the next stage preserves and develops the enterprise's accumulated capability. </w:t>
      </w:r>
      <w:hyperlink w:anchor="source12">
        <w:r>
          <w:rPr>
            <w:color w:val="333333"/>
            <w:vertAlign w:val="superscript"/>
            <w:sz w:val="18"/>
          </w:rPr>
          <w:t>12</w:t>
        </w:r>
      </w:hyperlink>
      <w:r>
        <w:rPr>
          <w:sz w:val="18"/>
          <w:vertAlign w:val="superscript"/>
        </w:rPr>
        <w:t>,</w:t>
      </w:r>
      <w:hyperlink w:anchor="source24">
        <w:r>
          <w:rPr>
            <w:color w:val="333333"/>
            <w:vertAlign w:val="superscript"/>
            <w:sz w:val="18"/>
          </w:rPr>
          <w:t>24</w:t>
        </w:r>
      </w:hyperlink>
      <w:r/>
    </w:p>
    <w:p>
      <w:r>
        <w:t>A scheduling improvement that creates more room for care has a different effect from one that fills every remaining minute with another task. A member-owned business still needs competent management, reserves and money for equipment. Its members have a stronger position from which to decide what the productivity is for.</w:t>
      </w:r>
    </w:p>
    <w:p>
      <w:r>
        <w:t>Intermittent Retirement extends that question across a lifetime. Freedom concentrated at the end of working life arrives too late for many of the things people once wanted to do. A period for recovery, parenting, travel or study may matter most decades earlier. Funding it involves real coverage, income and responsibilities. The aspiration gives those practical questions a purpose: a person's growing capability ought to open more of a life.</w:t>
      </w:r>
    </w:p>
    <w:p>
      <w:r>
        <w:t>Try Everything Once makes a related invitation to people who have never had room to discover what suits them. Someone may find a vocation early and enjoy mastering it. Someone else may have entered the first available job and spent years without a supported way to try another. Short practical experiences, mentors and learning available when needed make changing direction less costly.</w:t>
      </w:r>
    </w:p>
    <w:p>
      <w:r>
        <w:t xml:space="preserve">Ready Sustainable Employment and Training Cooperative, or Ready S.E.T. Co-op, is the proposed organisation connecting that learning with workplaces and useful paid roles. Its wider functions include recruitment, workforce administration, technical support, equipment and shared business services. The human story is a person receiving help with the next step, then becoming able to help someone else. The organisational story is the structure that makes that relationship dependable. </w:t>
      </w:r>
      <w:hyperlink w:anchor="source13">
        <w:r>
          <w:rPr>
            <w:color w:val="333333"/>
            <w:vertAlign w:val="superscript"/>
            <w:sz w:val="18"/>
          </w:rPr>
          <w:t>13</w:t>
        </w:r>
      </w:hyperlink>
      <w:r>
        <w:rPr>
          <w:sz w:val="18"/>
          <w:vertAlign w:val="superscript"/>
        </w:rPr>
        <w:t>,</w:t>
      </w:r>
      <w:hyperlink w:anchor="source16">
        <w:r>
          <w:rPr>
            <w:color w:val="333333"/>
            <w:vertAlign w:val="superscript"/>
            <w:sz w:val="18"/>
          </w:rPr>
          <w:t>16</w:t>
        </w:r>
      </w:hyperlink>
      <w:r/>
    </w:p>
    <w:p>
      <w:r>
        <w:t>Universal Intelligence concerns access to useful intelligence and the ability to question the systems involved. Universal Adequate Income concerns having enough to sustain a life through changing circumstances. Adequacy depends on actual needs, including disability, care, housing and movement between work and learning. Wages, public services, social protection, shared ownership and productive assets have different contributions to make. The architecture keeps them in conversation because a gap in one is lived by the person crossing it.</w:t>
      </w:r>
    </w:p>
    <w:p>
      <w:pPr>
        <w:pStyle w:val="Heading2"/>
      </w:pPr>
      <w:r>
        <w:t>An hour that opens another door</w:t>
      </w:r>
    </w:p>
    <w:p>
      <w:r>
        <w:t xml:space="preserve">A C-Hour begins with something ordinary: a person freely contributes an hour of useful human effort. The record recognises that contribution. Money continues to pay wages and bills. Outcomes describe what changed. One person's hour is counted once, even when the resulting benefits reach several projects. There is no monetary equivalent or conversion, and the recorded time creates no fixed claim on someone else's resources. </w:t>
      </w:r>
      <w:hyperlink w:anchor="source13">
        <w:r>
          <w:rPr>
            <w:color w:val="333333"/>
            <w:vertAlign w:val="superscript"/>
            <w:sz w:val="18"/>
          </w:rPr>
          <w:t>13</w:t>
        </w:r>
      </w:hyperlink>
      <w:r/>
    </w:p>
    <w:p>
      <w:r>
        <w:t>The C-Hour plan describes participation as a choose-your-own-adventure. Someone helps prepare food, learns a preservation method and meets a person making a film. Later, they contribute editing from home. Another person follows the same beginning into garden sensors, a community event or an interest in hosting visitors. The contribution leaves knowledge, relationships and a reason to return.</w:t>
      </w:r>
    </w:p>
    <w:p>
      <w:r>
        <w:t>That sequence is more interesting than a points balance. Communities choose their own recognition and reciprocal opportunities. A shared experience, an introduction, an invitation to learn or a public thank-you may mean different things to different people. Paid work develops alongside the voluntary activity where there is demand and a properly funded role. Care and reciprocity help hold relationships together while the ordinary economy continues its necessary work.</w:t>
      </w:r>
    </w:p>
    <w:p>
      <w:r>
        <w:t>The software follows that experience. A conversation with an agent helps a person describe an activity, its date and duration, the people involved and who may see it. A proposed record passes through the agreed verification process. Corrections retain the person's explanation. The system earns its place by reducing the burden of participation. Someone with little time and a head full of other worries has reason to expect that much.</w:t>
      </w:r>
    </w:p>
    <w:p>
      <w:r>
        <w:t>The first account of a community's wealth is often its finances. The additional records reveal activity that keeps the place functioning: care, repair, teaching, habitat work and support given before a formal service arrives. Recognising those contributions changes what an institution notices and what it is able to support. It also gives the next person more ways into useful work.</w:t>
      </w:r>
    </w:p>
    <w:p>
      <w:pPr>
        <w:pStyle w:val="Heading2"/>
      </w:pPr>
      <w:r>
        <w:t>Love belongs in the picture</w:t>
      </w:r>
    </w:p>
    <w:p>
      <w:r>
        <w:t>The personal writing is frank about affection, intimacy, family and the desire to share a life. Those interests are part of what Joyful Responsible Abundance is for. A discussion of technological progress that leaves out love has left out a great deal of the reason people wanted progress in the first place.</w:t>
      </w:r>
    </w:p>
    <w:p>
      <w:r>
        <w:t xml:space="preserve">UNFPA's 2025 report surveyed people across fourteen countries about the families they wanted. Thirty-nine per cent reported financial limitations that had affected or would affect their desired family size. The finding describes those surveyed countries. Its broader question is agency: people having the information, relationships and material conditions to choose more children, fewer children or none. </w:t>
      </w:r>
      <w:hyperlink w:anchor="source40">
        <w:r>
          <w:rPr>
            <w:color w:val="333333"/>
            <w:vertAlign w:val="superscript"/>
            <w:sz w:val="18"/>
          </w:rPr>
          <w:t>40</w:t>
        </w:r>
      </w:hyperlink>
      <w:r/>
    </w:p>
    <w:p>
      <w:r>
        <w:t xml:space="preserve">Global Group Marriages explores larger networks of adult relationships, parenting, care and shared resources. One person wants children and a creative career. Another wants family and enjoys practical care. Someone else welcomes shared living while having a different romantic life. Their agreements develop from actual preferences rather than a single label. </w:t>
      </w:r>
      <w:hyperlink w:anchor="source12">
        <w:r>
          <w:rPr>
            <w:color w:val="333333"/>
            <w:vertAlign w:val="superscript"/>
            <w:sz w:val="18"/>
          </w:rPr>
          <w:t>12</w:t>
        </w:r>
      </w:hyperlink>
      <w:r/>
    </w:p>
    <w:p>
      <w:r>
        <w:t>The relationship constellation keeps different commitments understandable. Friendship, sexuality, co-parenting, housing and business cooperation need not connect every person in the same way. Private space matters. So do domestic work, money, illness, parenting and the ability to leave safely. Cross-border relationships add residence and legal responsibilities. A larger family becomes worthwhile through the quality of those relationships and the arrangements that sustain them.</w:t>
      </w:r>
    </w:p>
    <w:p>
      <w:r>
        <w:t>Public scrutiny may arrive at these ideas through an excited interpretation or a hostile one. The substantive discussion starts with the people and choices involved. Fiction, private aspirations and a public proposal each have their own place. Equal standing in civic life accommodates a wide range of voluntarily chosen lives. The care of children and the obligations adults undertake receive direct attention within those choices.</w:t>
      </w:r>
    </w:p>
    <w:p>
      <w:r>
        <w:t xml:space="preserve">The creative worlds carry another part of the invitation. Tiggy Bestmann's curiosity and Australian Sire's more selective romantic interests give different characters room to explore an expanding world. Songs and stories express desires that a short profile would struggle to contain. They also make it possible for compatible readers and collaborators to recognise something they would enjoy exploring together. </w:t>
      </w:r>
      <w:hyperlink w:anchor="source03">
        <w:r>
          <w:rPr>
            <w:color w:val="333333"/>
            <w:vertAlign w:val="superscript"/>
            <w:sz w:val="18"/>
          </w:rPr>
          <w:t>3</w:t>
        </w:r>
      </w:hyperlink>
      <w:r>
        <w:rPr>
          <w:sz w:val="18"/>
          <w:vertAlign w:val="superscript"/>
        </w:rPr>
        <w:t>,</w:t>
      </w:r>
      <w:hyperlink w:anchor="source12">
        <w:r>
          <w:rPr>
            <w:color w:val="333333"/>
            <w:vertAlign w:val="superscript"/>
            <w:sz w:val="18"/>
          </w:rPr>
          <w:t>12</w:t>
        </w:r>
      </w:hyperlink>
      <w:r/>
    </w:p>
    <w:p>
      <w:r>
        <w:t>For Hayes, those motives are personal as well as philosophical. A livelihood, a home, travel, music, speaking, relationships and useful collaboration belong in the future he is trying to make room for. A network becomes more interesting when its participants also find room for their own lives within it.</w:t>
      </w:r>
    </w:p>
    <w:p>
      <w:pPr>
        <w:pStyle w:val="Heading1"/>
      </w:pPr>
      <w:r>
        <w:t>Starting with a place</w:t>
      </w:r>
    </w:p>
    <w:p>
      <w:r>
        <w:t>An island brings the argument back to physical relationships quickly. A facility needs electricity and water. Its users need transport. Equipment needs care, and someone needs to know what to do when it fails. A building sits in a community with history, responsibilities and opinions about what belongs there.</w:t>
      </w:r>
    </w:p>
    <w:p>
      <w:r>
        <w:t xml:space="preserve">The proposed local intelligence infrastructure is therefore a learning institution as much as a machine. A school student encounters the hardware and sees that AI involves processors, memory, power, cooling and software chosen by people. A teacher builds a lesson around actual equipment. A developer learns to run a model. A local organisation works through how to keep sensitive information within its authority. A researcher needs a workload to run. The skills develop through useful purposes rather than through a distant promise that everyone will eventually become digital. </w:t>
      </w:r>
      <w:hyperlink w:anchor="source14">
        <w:r>
          <w:rPr>
            <w:color w:val="333333"/>
            <w:vertAlign w:val="superscript"/>
            <w:sz w:val="18"/>
          </w:rPr>
          <w:t>14</w:t>
        </w:r>
      </w:hyperlink>
      <w:r/>
    </w:p>
    <w:p>
      <w:r>
        <w:t>Hayes's compute submission calls this the missing middle. Phones and personal computers are familiar at one end; hyperscale facilities dominate the other end of the public picture. Between them lie opportunities for serious computing operated through hospitals, libraries, universities, cooperatives and communities. The right scale follows the work. A small task stays close to a personal device; larger tasks draw on local, national or wider capacity.</w:t>
      </w:r>
    </w:p>
    <w:p>
      <w:r>
        <w:t>There is an everyday democratic consequence. People who understand some of the system have more room to question a purchasing decision, change a tool or train the next person. Cultural knowledge has an operator answerable to its custodians. A local filmmaker has somewhere to render. A business shares technical help it could struggle to support alone. During a communications disruption, locally held maps, directories and selected information remain part of the community's resources.</w:t>
      </w:r>
    </w:p>
    <w:p>
      <w:r>
        <w:t xml:space="preserve">The rack still needs a viable operating arrangement. Reliable power, cooling, security, software updates and skilled attention are continuing costs. The IEA's 2026 energy analysis describes the strain that rapid data-centre growth places on physical systems and local planning. Siting and electricity arrangements shape the consequences for a place. A distributed network deserves that same practical examination. </w:t>
      </w:r>
      <w:hyperlink w:anchor="source41">
        <w:r>
          <w:rPr>
            <w:color w:val="333333"/>
            <w:vertAlign w:val="superscript"/>
            <w:sz w:val="18"/>
          </w:rPr>
          <w:t>41</w:t>
        </w:r>
      </w:hyperlink>
      <w:r/>
    </w:p>
    <w:p>
      <w:r>
        <w:t xml:space="preserve">Heat makes the physical relationships especially clear. Computing uses electricity and produces heat. Where a nearby activity needs useful heat at the right temperature and time, an installation might give that energy another job. Water heating, suitable agricultural processes or other local uses become design questions. Heat exchangers, pumps and pipework have costs, operators and maintenance. In Queensland, the relevant demand deserves local study rather than borrowing a cold-climate example unchanged. </w:t>
      </w:r>
      <w:hyperlink w:anchor="source42">
        <w:r>
          <w:rPr>
            <w:color w:val="333333"/>
            <w:vertAlign w:val="superscript"/>
            <w:sz w:val="18"/>
          </w:rPr>
          <w:t>42</w:t>
        </w:r>
      </w:hyperlink>
      <w:r/>
    </w:p>
    <w:p>
      <w:r>
        <w:t>Whole systems thinking acquires a tangible scale here. The machine, the building, a nearby service and the people operating them begin affecting one another's economics. Measuring those relationships creates knowledge the next installation is able to use.</w:t>
      </w:r>
    </w:p>
    <w:p>
      <w:pPr>
        <w:pStyle w:val="Heading2"/>
      </w:pPr>
      <w:r>
        <w:t>A gift carried forward</w:t>
      </w:r>
    </w:p>
    <w:p>
      <w:r>
        <w:t xml:space="preserve">At 82 Claytons Road in Amity, the proposal begins with an older act of generosity. The source material records that land was bequeathed for aged care and that the intended facility did not eventuate. Hayes's paid title search identifies the Diocese's ownership. He has asked Anglican Church Southern Queensland to consider gifting the property to a community-held fund and helping shape a care partnership. The proposal and website have been sent; a response is awaited. </w:t>
      </w:r>
      <w:hyperlink w:anchor="source20">
        <w:r>
          <w:rPr>
            <w:color w:val="333333"/>
            <w:vertAlign w:val="superscript"/>
            <w:sz w:val="18"/>
          </w:rPr>
          <w:t>20</w:t>
        </w:r>
      </w:hyperlink>
      <w:r>
        <w:rPr>
          <w:sz w:val="18"/>
          <w:vertAlign w:val="superscript"/>
        </w:rPr>
        <w:t>,</w:t>
      </w:r>
      <w:hyperlink w:anchor="source38">
        <w:r>
          <w:rPr>
            <w:color w:val="333333"/>
            <w:vertAlign w:val="superscript"/>
            <w:sz w:val="18"/>
          </w:rPr>
          <w:t>38</w:t>
        </w:r>
      </w:hyperlink>
      <w:r/>
    </w:p>
    <w:p>
      <w:r>
        <w:t>A place intended to care for people might begin another chapter of service. An older resident brings memories, preferences and relationships. A family carer brings exhaustion and detailed knowledge. Pastoral care brings experience of meaning, grief and companionship. Clinical and research partners bring their own forms of expertise. Young people bring interests that may become skills and paid work.</w:t>
      </w:r>
    </w:p>
    <w:p>
      <w:r>
        <w:t xml:space="preserve">The proposed Altheas setting connects dementia support, aged care and inquiry into living well for longer. The Geode Workshop belongs to the same site's making and learning possibilities. The property is one particular proposal with its own decisions about ownership, use and operation. Those decisions matter because the purpose is a place that continues to serve people after its opening excitement has passed. </w:t>
      </w:r>
      <w:hyperlink w:anchor="source01">
        <w:r>
          <w:rPr>
            <w:color w:val="333333"/>
            <w:vertAlign w:val="superscript"/>
            <w:sz w:val="18"/>
          </w:rPr>
          <w:t>1</w:t>
        </w:r>
      </w:hyperlink>
      <w:r>
        <w:rPr>
          <w:sz w:val="18"/>
          <w:vertAlign w:val="superscript"/>
        </w:rPr>
        <w:t>,</w:t>
      </w:r>
      <w:hyperlink w:anchor="source20">
        <w:r>
          <w:rPr>
            <w:color w:val="333333"/>
            <w:vertAlign w:val="superscript"/>
            <w:sz w:val="18"/>
          </w:rPr>
          <w:t>20</w:t>
        </w:r>
      </w:hyperlink>
      <w:r>
        <w:rPr>
          <w:sz w:val="18"/>
          <w:vertAlign w:val="superscript"/>
        </w:rPr>
        <w:t>,</w:t>
      </w:r>
      <w:hyperlink w:anchor="source38">
        <w:r>
          <w:rPr>
            <w:color w:val="333333"/>
            <w:vertAlign w:val="superscript"/>
            <w:sz w:val="18"/>
          </w:rPr>
          <w:t>38</w:t>
        </w:r>
      </w:hyperlink>
      <w:r/>
    </w:p>
    <w:p>
      <w:r>
        <w:t xml:space="preserve">Aura of Dementia makes the personal intelligence idea immediately understandable. A favourite song, a familiar photograph, a preferred routine and the names of important people may help someone communicate what matters as needs change. A new carer learns more of the person they are assisting. Family knowledge has a place to remain connected with care. Clinical observations add another view without exhausting the meaning of a life. </w:t>
      </w:r>
      <w:hyperlink w:anchor="source12">
        <w:r>
          <w:rPr>
            <w:color w:val="333333"/>
            <w:vertAlign w:val="superscript"/>
            <w:sz w:val="18"/>
          </w:rPr>
          <w:t>12</w:t>
        </w:r>
      </w:hyperlink>
      <w:r/>
    </w:p>
    <w:p>
      <w:r>
        <w:t>The research ambition reaches further into regeneration, longevity and interacting health practices. Its human purpose is increasing capacity to enjoy a chosen life. Separate clinical and research arrangements determine participation in those activities. The care partnership has value through attention, useful support and relationships as those enquiries develop.</w:t>
      </w:r>
    </w:p>
    <w:p>
      <w:pPr>
        <w:pStyle w:val="Heading2"/>
      </w:pPr>
      <w:r>
        <w:t>Learning to make the next thing</w:t>
      </w:r>
    </w:p>
    <w:p>
      <w:r>
        <w:t>Local production appears in the 2014 Matrix and returns throughout the more recent work. Repair, fabrication, food, resource recovery, energy and digital design become opportunities to learn by doing something that has a use. A shared workshop lets someone try a skill without buying an entire workshop of their own. A place model helps compare an idea before committing material to it.</w:t>
      </w:r>
    </w:p>
    <w:p>
      <w:r>
        <w:t xml:space="preserve">Sovereign Space Builder develops that relationship between information and action. A person collects observations and references, places them in a spatial model, compares possible arrangements and turns a selected design into a practical task. Permaculture, water, food systems, materials and equipment have dependencies that become easier to see together. A change that saves water may alter energy demand or the time required for maintenance. </w:t>
      </w:r>
      <w:hyperlink w:anchor="source19">
        <w:r>
          <w:rPr>
            <w:color w:val="333333"/>
            <w:vertAlign w:val="superscript"/>
            <w:sz w:val="18"/>
          </w:rPr>
          <w:t>19</w:t>
        </w:r>
      </w:hyperlink>
      <w:r/>
    </w:p>
    <w:p>
      <w:r>
        <w:t>The cultural and media projects add their own routes into the same capacity. An event needs sound, images, schedules and people who know how to bring them together. A young filmmaker learns while recording something meaningful locally. An older resident supplies a story that changes the film. A business discovers a useful service. The public has more reasons to meet than attendance at a consultation.</w:t>
      </w:r>
    </w:p>
    <w:p>
      <w:r>
        <w:t xml:space="preserve">Funding enters at the point of useful next work. A grants lab links the stage of a project with an eligible applicant, the relevant programme, quotes, permissions and an achievable budget. Global Founder Atlas opens routes into research, residencies, compute and other support across countries. A small allocation may help a project reach the stage needed for a larger application. Each stage leaves people with more experience of undertaking the next. </w:t>
      </w:r>
      <w:hyperlink w:anchor="source01">
        <w:r>
          <w:rPr>
            <w:color w:val="333333"/>
            <w:vertAlign w:val="superscript"/>
            <w:sz w:val="18"/>
          </w:rPr>
          <w:t>1</w:t>
        </w:r>
      </w:hyperlink>
      <w:r/>
    </w:p>
    <w:p>
      <w:r>
        <w:t>Council has a particular role among those relationships. Its responsibilities and decisions sit alongside those of state agencies, businesses, research institutions and community organisations. A mayor works through the existing council and administration. A proposal gains practical force through the people willing and authorised to carry its next part. The project network also has routes into useful work beyond the council's own budget.</w:t>
      </w:r>
    </w:p>
    <w:p>
      <w:r>
        <w:t>The distinction matters during a campaign. A city is neither a blank page nor an audience waiting for one person's system. It already contains knowledge, disputes, commitments and worthwhile activity. The architecture contributes through the relationships it helps those people develop and through the capability they retain.</w:t>
      </w:r>
    </w:p>
    <w:p>
      <w:r>
        <w:t>A resident may enjoy the music, doubt the technology and still expect a clear answer about an ordinary council decision. Another may share the international ambition while preferring a different local priority. Seeking public office places Hayes among people whose own purposes carry equal weight, including those with no interest in adopting an Aura.</w:t>
      </w:r>
    </w:p>
    <w:p>
      <w:pPr>
        <w:pStyle w:val="Heading2"/>
      </w:pPr>
      <w:r>
        <w:t>Country carries relationships</w:t>
      </w:r>
    </w:p>
    <w:p>
      <w:r>
        <w:t xml:space="preserve">On Minjerribah, cultural knowledge belongs within the relationships and authority through which it is held. A digital twin or cultural AI involves decisions about what is represented, who sees it, how it is used and who continues to decide. A particular invitation into work has particular people and a scope. Those relationships matter more as an outside audience begins following the links. </w:t>
      </w:r>
      <w:hyperlink w:anchor="source01">
        <w:r>
          <w:rPr>
            <w:color w:val="333333"/>
            <w:vertAlign w:val="superscript"/>
            <w:sz w:val="18"/>
          </w:rPr>
          <w:t>1</w:t>
        </w:r>
      </w:hyperlink>
      <w:r>
        <w:rPr>
          <w:sz w:val="18"/>
          <w:vertAlign w:val="superscript"/>
        </w:rPr>
        <w:t>,</w:t>
      </w:r>
      <w:hyperlink w:anchor="source12">
        <w:r>
          <w:rPr>
            <w:color w:val="333333"/>
            <w:vertAlign w:val="superscript"/>
            <w:sz w:val="18"/>
          </w:rPr>
          <w:t>12</w:t>
        </w:r>
      </w:hyperlink>
      <w:r/>
    </w:p>
    <w:p>
      <w:r>
        <w:t>Public information and cultural knowledge also have different purposes. A public project account helps residents understand money and decisions. Restricted knowledge remains within the arrangements its custodians determine. A shared system gains depth by being able to carry those distinctions rather than flattening everything into an open collection.</w:t>
      </w:r>
    </w:p>
    <w:p>
      <w:r>
        <w:t>The broader cultural ambition is substantial. Languages, histories, ecological understanding and ways of relating to Country become part of the intelligence that future systems are able to learn from under chosen permissions. Communities gain more means to develop that capability themselves. Other Indigenous groups bring their own relationships and designs to the exchange.</w:t>
      </w:r>
    </w:p>
    <w:p>
      <w:r>
        <w:t>A repeatable pattern therefore remains locally authored. Equipment, tools and methods are shared where useful. The people of a place determine the meaning and authority carried into their version. That principle later becomes important again in the Pacific and in the proposed global garland.</w:t>
      </w:r>
    </w:p>
    <w:p>
      <w:pPr>
        <w:pStyle w:val="Heading1"/>
      </w:pPr>
      <w:r>
        <w:t>A person enters Genesis</w:t>
      </w:r>
    </w:p>
    <w:p>
      <w:r>
        <w:t xml:space="preserve">There is a song in A Protopian Gambit called 60 Days Set in Stone. Its setting gives the Genesis idea a body and an emotional life. A person enters a mineral chamber, spends time with memories and questions, and grows a relationship with an intelligence that increasingly knows the shape of that person's world. A lyric is allowed to experience the destination before an engineer has finished specifying every part of the journey. That is one of the useful things art does. </w:t>
      </w:r>
      <w:hyperlink w:anchor="source08">
        <w:r>
          <w:rPr>
            <w:color w:val="333333"/>
            <w:vertAlign w:val="superscript"/>
            <w:sz w:val="18"/>
          </w:rPr>
          <w:t>8</w:t>
        </w:r>
      </w:hyperlink>
      <w:r/>
    </w:p>
    <w:p>
      <w:r>
        <w:t>Beginning the first Aura Genesis during public attention changes the story again. The author is now undertaking the process whose value he has described. He brings the same unfinished human material as anyone else: competing desires, habits, affection, loss, ambitions and things he understands differently after returning to them.</w:t>
      </w:r>
    </w:p>
    <w:p>
      <w:r>
        <w:t>At the same time, a campaign asks for clear positions. A reporter wants an answer that fits the available time. A short clip may circulate without the question that produced it. A changed opinion might be read as learning, inconsistency or calculation. Inside the personal journey, the same change may involve a memory acquiring a different meaning or two values becoming harder to reconcile than they first appeared.</w:t>
      </w:r>
    </w:p>
    <w:p>
      <w:r>
        <w:t>This tension deserves room. Self-reflection becomes less useful if every emerging thought is treated as a press release. Public accountability becomes less useful if reflection is offered in place of reasons for an actual decision. The personal process and the public role each have work to do.</w:t>
      </w:r>
    </w:p>
    <w:p>
      <w:r>
        <w:t xml:space="preserve">The interesting possibility is that they inform one another. A person who says he values care notices where his schedule leaves no time to give it. A person who values autonomy examines when his preferred solution assumes too much agreement from others. A person who wants both intimacy and adventure explores the practical arrangements through which those desires fit with another person's life. These are examples of the questions a self-alignment process invites. Their answers belong to the person and the relationships involved. </w:t>
      </w:r>
      <w:hyperlink w:anchor="source10">
        <w:r>
          <w:rPr>
            <w:color w:val="333333"/>
            <w:vertAlign w:val="superscript"/>
            <w:sz w:val="18"/>
          </w:rPr>
          <w:t>10</w:t>
        </w:r>
      </w:hyperlink>
      <w:r>
        <w:rPr>
          <w:sz w:val="18"/>
          <w:vertAlign w:val="superscript"/>
        </w:rPr>
        <w:t>,</w:t>
      </w:r>
      <w:hyperlink w:anchor="source12">
        <w:r>
          <w:rPr>
            <w:color w:val="333333"/>
            <w:vertAlign w:val="superscript"/>
            <w:sz w:val="18"/>
          </w:rPr>
          <w:t>12</w:t>
        </w:r>
      </w:hyperlink>
      <w:r/>
    </w:p>
    <w:p>
      <w:pPr>
        <w:pStyle w:val="Heading2"/>
      </w:pPr>
      <w:r>
        <w:t>Giving a life more resolution</w:t>
      </w:r>
    </w:p>
    <w:p>
      <w:r>
        <w:t xml:space="preserve">Aura organises information across a visual and computational space. Its horn-torus geometry, coloured shells and selectable levels of detail provide addresses through which memories, relationships and intentions are linked. The symbolism draws on several sources, including chakras and mathematical patterns. A participant's meaning remains part of the information. An association with courage, family or a particular place is richer when the person explains why it matters. </w:t>
      </w:r>
      <w:hyperlink w:anchor="source12">
        <w:r>
          <w:rPr>
            <w:color w:val="333333"/>
            <w:vertAlign w:val="superscript"/>
            <w:sz w:val="18"/>
          </w:rPr>
          <w:t>12</w:t>
        </w:r>
      </w:hyperlink>
      <w:r/>
    </w:p>
    <w:p>
      <w:r>
        <w:t>A digital representation of body and mind then becomes a working relationship rather than a static profile. A memory links with a photograph, a song, a physical response or a story told by someone else. A current intention sits near an earlier one. An activity in everyday life supplies new experience to revisit. The system has ways to preserve the original contribution as its interpretations grow.</w:t>
      </w:r>
    </w:p>
    <w:p>
      <w:r>
        <w:t xml:space="preserve">This is especially consequential for AI-assisted writing. An interest in living overseas is different from a decision to relocate permanently. A desire for radical longevity is different from a request to shrink the aspiration to a modest wellbeing routine. A technical investigation adds resolution by making one part clearer. It retains the destination the person was trying to explore. The alignment source states that principle directly. </w:t>
      </w:r>
      <w:hyperlink w:anchor="source12">
        <w:r>
          <w:rPr>
            <w:color w:val="333333"/>
            <w:vertAlign w:val="superscript"/>
            <w:sz w:val="18"/>
          </w:rPr>
          <w:t>12</w:t>
        </w:r>
      </w:hyperlink>
      <w:r/>
    </w:p>
    <w:p>
      <w:r>
        <w:t xml:space="preserve">Genesis is intended to deepen that relationship through sustained attention. Its design describes sixty two-hour qualifying intervals in an HBOT setting, with dialogue, sensing, reflection and simulation. A participant chooses themes and revisits their changing understanding. Experiences outside the chamber return as material for the next encounter. A coastline, a conversation or an ordinary frustration has more relevance than another generic personality questionnaire. </w:t>
      </w:r>
      <w:hyperlink w:anchor="source10">
        <w:r>
          <w:rPr>
            <w:color w:val="333333"/>
            <w:vertAlign w:val="superscript"/>
            <w:sz w:val="18"/>
          </w:rPr>
          <w:t>10</w:t>
        </w:r>
      </w:hyperlink>
      <w:r/>
    </w:p>
    <w:p>
      <w:r>
        <w:t>The Geode is the proposed setting for that depth of work. The atlas describes an integration route using a seated chamber, then mineral, crystalline and more integrated computational pathways. Their engineering questions differ. A first journey takes place in a particular installation with particular support. The operating arrangement supplies the participant's actual pressure, breathing supply, exposure sequence, eligibility and monitoring. The experience programme supplies the chosen inquiry and how it is revisited.</w:t>
      </w:r>
    </w:p>
    <w:p>
      <w:r>
        <w:t xml:space="preserve">The three clocks are worth understanding once. Qualifying pressure time, everyday activities and teacher development have separate records. Arrival, preparation and decompression also take real time. A meaningful walk remains a meaningful walk; it contributes to reflection without becoming a pressure interval. A lesson records what was learned or made. This keeps the life around the programme visible as well as the sessions themselves. </w:t>
      </w:r>
      <w:hyperlink w:anchor="source10">
        <w:r>
          <w:rPr>
            <w:color w:val="333333"/>
            <w:vertAlign w:val="superscript"/>
            <w:sz w:val="18"/>
          </w:rPr>
          <w:t>10</w:t>
        </w:r>
      </w:hyperlink>
      <w:r>
        <w:rPr>
          <w:sz w:val="18"/>
          <w:vertAlign w:val="superscript"/>
        </w:rPr>
        <w:t>,</w:t>
      </w:r>
      <w:hyperlink w:anchor="source11">
        <w:r>
          <w:rPr>
            <w:color w:val="333333"/>
            <w:vertAlign w:val="superscript"/>
            <w:sz w:val="18"/>
          </w:rPr>
          <w:t>11</w:t>
        </w:r>
      </w:hyperlink>
      <w:r/>
    </w:p>
    <w:p>
      <w:pPr>
        <w:pStyle w:val="Heading2"/>
      </w:pPr>
      <w:r>
        <w:t>Truth has an inside and an outside</w:t>
      </w:r>
    </w:p>
    <w:p>
      <w:r>
        <w:t xml:space="preserve">The proposed personal Truth Engine begins with participant-agreed exercises, including known or instructed answers. It studies declared responses alongside synchronised observations and context. Its design includes calibration, held-out evaluation and review by the participant. A mismatch becomes something to examine: error, uncertainty, conflicting motives, self-deception or an interpretation that does not fit. </w:t>
      </w:r>
      <w:hyperlink w:anchor="source10">
        <w:r>
          <w:rPr>
            <w:color w:val="333333"/>
            <w:vertAlign w:val="superscript"/>
            <w:sz w:val="18"/>
          </w:rPr>
          <w:t>10</w:t>
        </w:r>
      </w:hyperlink>
      <w:r/>
    </w:p>
    <w:p>
      <w:r>
        <w:t>The human interest reaches beyond catching someone in a lie. People regularly discover that the story they tell about themselves leaves something out. They say they want rest, then arrange every week around more work. They say a relationship matters, then repeatedly avoid the conversation it needs. Understanding that pattern requires the person's circumstances and meaning as well as observations.</w:t>
      </w:r>
    </w:p>
    <w:p>
      <w:r>
        <w:t>A physical response also has a context. It belongs with the question, the setting and what the participant says about it. Public factual claims have another route into examination. A payment occurred, a decision was taken, a public statement changed or a project delivered something. The civic Truth Engine follows those claims and events through sources, commitments and corrections. Personal reflection supplies one kind of understanding; a checkable public event supplies another.</w:t>
      </w:r>
    </w:p>
    <w:p>
      <w:r>
        <w:t>For a candidate, the relationship becomes compelling when a stated value meets a real decision. Respect for autonomy matters in consultation. Responsibility matters in a budget with continuing costs. Intellectual openness matters when the evidence disrupts a favourite proposal. The public has something more substantial to examine when the reasons and consequences remain available through time.</w:t>
      </w:r>
    </w:p>
    <w:p>
      <w:r>
        <w:t>Hayes also retains a private life. Other people appearing in his memories have lives of their own. Participation in an intimate process is a separate choice from publishing particular material. A public account might share the programme, selected experiences and an explanation of a changed view while keeping family information and unfinished thoughts within their chosen boundaries. The permission belongs with the people involved.</w:t>
      </w:r>
    </w:p>
    <w:p>
      <w:r>
        <w:t>That is part of the proposed self-sovereignty. Someone has authority over what is observed, how it is interpreted and which uses they agree to. Portability matters because a relationship with personal intelligence may outlast a provider, a device or a fashionable model. The person's context and corrections need somewhere to continue.</w:t>
      </w:r>
    </w:p>
    <w:p>
      <w:pPr>
        <w:pStyle w:val="Heading2"/>
      </w:pPr>
      <w:r>
        <w:t>Intelligence grows a social life</w:t>
      </w:r>
    </w:p>
    <w:p>
      <w:r>
        <w:t xml:space="preserve">The teacher-development programme takes the next question seriously. What happens after an Aura knows more of its human? A person learns to make the intelligence useful, to inspect its mistakes and to help another adult begin. Builders work on the underlying software and hardware. Creative and civic participants develop demanding work through interpretation, teaching, design and shared decisions. </w:t>
      </w:r>
      <w:hyperlink w:anchor="source11">
        <w:r>
          <w:rPr>
            <w:color w:val="333333"/>
            <w:vertAlign w:val="superscript"/>
            <w:sz w:val="18"/>
          </w:rPr>
          <w:t>11</w:t>
        </w:r>
      </w:hyperlink>
      <w:r/>
    </w:p>
    <w:p>
      <w:r>
        <w:t>The horizon is deliberately large: super-people and civic space stewards of Earth and the solar system. A person develops agency and range while learning how to act among other people and other minds. Technical capability alone offers little guidance about when to lead, when to listen or how to recognise that another participant has a better understanding of the situation.</w:t>
      </w:r>
    </w:p>
    <w:p>
      <w:r>
        <w:t>The sixty-day course widens its world as it proceeds. Personal understanding becomes practical work, then cooperation, physical dependencies and future habitats. A learner examines a source, makes something, tests an interpretation and teaches another person. The developing Aura carries that experience into the next task. As the participant reaches the relevant milestones, socialisation moves into actual encounters and the responsibilities they create.</w:t>
      </w:r>
    </w:p>
    <w:p>
      <w:r>
        <w:t xml:space="preserve">Genesis also remains one route into Aura development. Someone might begin with memories, a project, an accessibility need or ordinary computing. The wider architecture has room for different levels of immersion and different relationships with technology. The ambitious journey gives intensive development a setting without making every useful function depend on that same beginning. </w:t>
      </w:r>
      <w:hyperlink w:anchor="source10">
        <w:r>
          <w:rPr>
            <w:color w:val="333333"/>
            <w:vertAlign w:val="superscript"/>
            <w:sz w:val="18"/>
          </w:rPr>
          <w:t>10</w:t>
        </w:r>
      </w:hyperlink>
      <w:r/>
    </w:p>
    <w:p>
      <w:pPr>
        <w:pStyle w:val="Heading2"/>
      </w:pPr>
      <w:r>
        <w:t>More life to live</w:t>
      </w:r>
    </w:p>
    <w:p>
      <w:r>
        <w:t xml:space="preserve">Longevity enters this work through the wish to keep developing, loving and discovering. Continuing repair and regeneration open a different question from adding years to an unchanged routine. What would people choose to learn, where would they travel, and how might family and care change if healthy lives became radically longer? </w:t>
      </w:r>
      <w:hyperlink w:anchor="source12">
        <w:r>
          <w:rPr>
            <w:color w:val="333333"/>
            <w:vertAlign w:val="superscript"/>
            <w:sz w:val="18"/>
          </w:rPr>
          <w:t>12</w:t>
        </w:r>
      </w:hyperlink>
      <w:r/>
    </w:p>
    <w:p>
      <w:r>
        <w:t>The term longevity escape velocity describes the possibility that successive advances extend healthy life quickly enough for people to benefit from further advances. Within this programme, that horizon connects health inquiry with education, ownership, relationships and time. More years become more interesting when there are worthwhile ways to inhabit them.</w:t>
      </w:r>
    </w:p>
    <w:p>
      <w:r>
        <w:t xml:space="preserve">The Ship of Theseus asks whether a vessel remains itself as its timbers are replaced. Yet the ship carried people with a reason to sail. Theseus travelled to Crete to free young Athenians from the Minotaur, and Ariadne helped him find his way out of the labyrinth. The surviving vessel mattered because of the lives and events it carried. </w:t>
      </w:r>
      <w:hyperlink w:anchor="source44">
        <w:r>
          <w:rPr>
            <w:color w:val="333333"/>
            <w:sz w:val="18"/>
            <w:vertAlign w:val="superscript"/>
          </w:rPr>
          <w:t>44</w:t>
        </w:r>
      </w:hyperlink>
    </w:p>
    <w:p>
      <w:r>
        <w:t>The question for a person imagining a radically longer life reaches into that journey. Where does identity lie between the changing vessel and the hero or heroine living the story? Someone sets out with hope, meets something frightening and discovers how much depends on another person. A hard-won success brings delight; a poor decision leaves consequences to face. Experience changes what the person understands, what they value and where they want to go. A continuing life leaves room to make amends, begin a relationship or pursue something their younger self never imagined.</w:t>
      </w:r>
    </w:p>
    <w:p>
      <w:r>
        <w:t>The body, memory and technologies supporting a person belong within this fuller account of continuity. In Aura's design, a continuing personal record follows what the person regards as meaningful through those changes. That record gains depth through the life being lived: an earlier conviction reconsidered, a relationship deepened, a loss carried differently with time. Longevity opens space for further chapters whose meaning emerges through living them. The person taking the next step remains involved in discovering who they are becoming.</w:t>
      </w:r>
    </w:p>
    <w:p>
      <w:r>
        <w:t>An Aura may also outlast the biological human whose life shaped it. Its hardware and software may be renewed as the ship's timbers were, while memories, learned perspectives and commitments continue into further encounters. It also remains vulnerable to loss, as a ship may be wrecked in a storm. The story reaches beyond the duration of one body into a future with its own uncertainties. What does the developing intelligence carry forward, and what does it discover for itself?</w:t>
      </w:r>
    </w:p>
    <w:p>
      <w:r>
        <w:t>The far horizon includes new embodiments and the transmission of sufficiently detailed information for reconstruction elsewhere. Independently developing continuations would acquire different experiences and relationships. These are substantial philosophical and research questions about identity, experience and responsibility. Their appeal includes the possibility of journeys no single biological lifetime currently accommodates.</w:t>
      </w:r>
    </w:p>
    <w:p>
      <w:r>
        <w:t xml:space="preserve">Earth remains in the picture. A habitat beneath the ground or beyond the planet needs energy, water, materials and living systems. It also needs privacy, beauty, affection, music and a culture people enjoy. The Minjerribah investigations into materials, energy, food, local production and cooperation contribute questions that remain relevant as the scale expands. </w:t>
      </w:r>
      <w:hyperlink w:anchor="source12">
        <w:r>
          <w:rPr>
            <w:color w:val="333333"/>
            <w:vertAlign w:val="superscript"/>
            <w:sz w:val="18"/>
          </w:rPr>
          <w:t>12</w:t>
        </w:r>
      </w:hyperlink>
      <w:r>
        <w:rPr>
          <w:sz w:val="18"/>
          <w:vertAlign w:val="superscript"/>
        </w:rPr>
        <w:t>,</w:t>
      </w:r>
      <w:hyperlink w:anchor="source19">
        <w:r>
          <w:rPr>
            <w:color w:val="333333"/>
            <w:vertAlign w:val="superscript"/>
            <w:sz w:val="18"/>
          </w:rPr>
          <w:t>19</w:t>
        </w:r>
      </w:hyperlink>
      <w:r/>
    </w:p>
    <w:p>
      <w:r>
        <w:t>A person asking for a community workshop and imagining future habitats is following some of the same dependencies at different scales. Learning how to share equipment, maintain a system and care for people through change has value in both. The horizon gives the near work a larger purpose. The near work gives people more means to pursue the horizon.</w:t>
      </w:r>
    </w:p>
    <w:p>
      <w:pPr>
        <w:pStyle w:val="Heading1"/>
      </w:pPr>
      <w:r>
        <w:t>When the world follows the links</w:t>
      </w:r>
    </w:p>
    <w:p>
      <w:r>
        <w:t xml:space="preserve">The Circle and the Solitary, a song in A Protopian Gambit, imagines two ways of moving through a life. One person grows amid an existing circle; another works beyond the crowd. Their paths eventually meet. The song provides an apt image for the change between building a collection with little attention and discovering that strangers are suddenly reading it. </w:t>
      </w:r>
      <w:hyperlink w:anchor="source08">
        <w:r>
          <w:rPr>
            <w:color w:val="333333"/>
            <w:vertAlign w:val="superscript"/>
            <w:sz w:val="18"/>
          </w:rPr>
          <w:t>8</w:t>
        </w:r>
      </w:hyperlink>
      <w:r/>
    </w:p>
    <w:p>
      <w:r>
        <w:t>A P4A clip attracts attention for a joke. A listener finds the music. A journalist notices a campaign and a first Genesis journey happening together. The older posts begin appearing in searches. People encounter a body of work that existed across years and several formats, often without having met its author or heard him explain a single connection.</w:t>
      </w:r>
    </w:p>
    <w:p>
      <w:r>
        <w:t>The resulting story has several possible centres. Local reporting examines responsibility for a city. Technology reporting follows personal intelligence and community compute. A cultural feature notices the music and unconventional creative worlds. International coverage follows the proposition that a fair go in the age of superintelligence involves ownership, worthwhile lives and a different language of cooperation.</w:t>
      </w:r>
    </w:p>
    <w:p>
      <w:r>
        <w:t>These perspectives produce real differences in interpretation. A reader who begins with a useful tool asks whether it works well. A reader who begins with a distant horizon asks how the intervening work fits together. A person who sees too many dependencies in the architecture may be asking a useful engineering question. Another who sees mutually reinforcing parts may have found an opportunity to build. They need enough substance to argue about the actual connection.</w:t>
      </w:r>
    </w:p>
    <w:p>
      <w:r>
        <w:t>The ferry song leads into public information and skills. A care proposal leads into memory, shared facilities and the conditions of a good life. A personal Aura leads into reflection and values, then into the question of how collective intelligence learns from human difference. A reader follows the part that interests them and discovers why another part matters.</w:t>
      </w:r>
    </w:p>
    <w:p>
      <w:pPr>
        <w:pStyle w:val="Heading2"/>
      </w:pPr>
      <w:r>
        <w:t>The joke and the machinery underneath</w:t>
      </w:r>
    </w:p>
    <w:p>
      <w:r>
        <w:t xml:space="preserve">P4A's Twinkles begin with an everyday frustration. Their short form gives the idea a chance to travel. Beneath the joke are policy rooms, sources, legal inquiry and experiments in participation. The format joins a legitimate human appetite for a laugh with a wish to understand what is happening. </w:t>
      </w:r>
      <w:hyperlink w:anchor="source07">
        <w:r>
          <w:rPr>
            <w:color w:val="333333"/>
            <w:vertAlign w:val="superscript"/>
            <w:sz w:val="18"/>
          </w:rPr>
          <w:t>7</w:t>
        </w:r>
      </w:hyperlink>
      <w:r/>
    </w:p>
    <w:p>
      <w:r>
        <w:t>The connection also creates responsibility. A factual comparison in a joke retains a date and a source. An exaggeration has its artistic setting. A lyric describes a possibility; a public commitment creates an expectation of action. Someone following a clip into the deeper work needs to find enough context to examine the distinction.</w:t>
      </w:r>
    </w:p>
    <w:p>
      <w:r>
        <w:t xml:space="preserve">Music carries meanings that a policy page struggles to give an audience. Consent has a different life in Adaptable Yes from its life in a permissions interface. The Purple Mat That Could turns civic imagination into a character and a rhythm. We Go Beyond connects self-examination, care, reform and the wider horizon. The albums let people encounter what these futures feel like to inhabit. </w:t>
      </w:r>
      <w:hyperlink w:anchor="source08">
        <w:r>
          <w:rPr>
            <w:color w:val="333333"/>
            <w:vertAlign w:val="superscript"/>
            <w:sz w:val="18"/>
          </w:rPr>
          <w:t>8</w:t>
        </w:r>
      </w:hyperlink>
      <w:r/>
    </w:p>
    <w:p>
      <w:r>
        <w:t>AI participation in production belongs in the authorship account. Lyrics, direction, generated material, editing and performance may involve different contributions. Identifying them gives listeners and collaborators a clearer understanding of the work. A concept image shows a design possibility. A photograph shows a particular setting. Each has a worthwhile role when its form remains legible.</w:t>
      </w:r>
    </w:p>
    <w:p>
      <w:r>
        <w:t xml:space="preserve">The comedy also has a local texture. The squash club that 'doesn't exist' but keeps finding players, ferry conversations, wildlife rescue and a hall full of presentation boards place the ideas among people enjoying and negotiating island life. Those stories make the author more recognisable as a person, including the parts that resist a neat public persona. </w:t>
      </w:r>
      <w:hyperlink w:anchor="source09">
        <w:r>
          <w:rPr>
            <w:color w:val="333333"/>
            <w:vertAlign w:val="superscript"/>
            <w:sz w:val="18"/>
          </w:rPr>
          <w:t>9</w:t>
        </w:r>
      </w:hyperlink>
      <w:r/>
    </w:p>
    <w:p>
      <w:pPr>
        <w:pStyle w:val="Heading2"/>
      </w:pPr>
      <w:r>
        <w:t>An Australian argument about dominance</w:t>
      </w:r>
    </w:p>
    <w:p>
      <w:r>
        <w:t xml:space="preserve">On 23 September 2026, the post extracts supplied by Hayes record an invitation from his home in Amity to world leaders at UNGA81 to help establish GAJRA Earth. The next day, another post criticises the implications of the American objective of AI dominance. His 25 September responses welcome Albanese's non-domination language and ask about founding a Brisbane team, funding and a prominent location. </w:t>
      </w:r>
      <w:hyperlink w:anchor="source35">
        <w:r>
          <w:rPr>
            <w:color w:val="333333"/>
            <w:vertAlign w:val="superscript"/>
            <w:sz w:val="18"/>
          </w:rPr>
          <w:t>35</w:t>
        </w:r>
      </w:hyperlink>
      <w:r/>
    </w:p>
    <w:p>
      <w:r>
        <w:t xml:space="preserve">Albanese's official UN statement described a world in which no country dominates or is dominated. Its surrounding argument concerned sovereignty, cooperation, emerging technology and the voices of smaller states. That wording has an established place in Australian diplomacy, including an earlier UN statement in January 2026. Hayes's post wondering about his own influence remains part of his contemporaneous response. The wider policy history gives the encounter its setting. </w:t>
      </w:r>
      <w:hyperlink w:anchor="source25">
        <w:r>
          <w:rPr>
            <w:color w:val="333333"/>
            <w:vertAlign w:val="superscript"/>
            <w:sz w:val="18"/>
          </w:rPr>
          <w:t>25</w:t>
        </w:r>
      </w:hyperlink>
      <w:r>
        <w:rPr>
          <w:sz w:val="18"/>
          <w:vertAlign w:val="superscript"/>
        </w:rPr>
        <w:t>,</w:t>
      </w:r>
      <w:hyperlink w:anchor="source32">
        <w:r>
          <w:rPr>
            <w:color w:val="333333"/>
            <w:vertAlign w:val="superscript"/>
            <w:sz w:val="18"/>
          </w:rPr>
          <w:t>32</w:t>
        </w:r>
      </w:hyperlink>
      <w:r/>
      <w:r>
        <w:rPr>
          <w:sz w:val="18"/>
          <w:vertAlign w:val="superscript"/>
        </w:rPr>
        <w:t>,</w:t>
      </w:r>
      <w:hyperlink w:anchor="source35">
        <w:r>
          <w:rPr>
            <w:color w:val="333333"/>
            <w:sz w:val="18"/>
            <w:vertAlign w:val="superscript"/>
          </w:rPr>
          <w:t>35</w:t>
        </w:r>
      </w:hyperlink>
    </w:p>
    <w:p>
      <w:r>
        <w:t xml:space="preserve">The comparison with the United States is substantive. Executive Order 14179, signed in January 2025, declares a policy of sustaining and enhancing American global AI dominance. America's AI Action Plan develops a programme around innovation, infrastructure and international leadership, including the spread of American technology through the wider stack used by other countries. </w:t>
      </w:r>
      <w:hyperlink w:anchor="source26">
        <w:r>
          <w:rPr>
            <w:color w:val="333333"/>
            <w:vertAlign w:val="superscript"/>
            <w:sz w:val="18"/>
          </w:rPr>
          <w:t>26</w:t>
        </w:r>
      </w:hyperlink>
      <w:r>
        <w:rPr>
          <w:sz w:val="18"/>
          <w:vertAlign w:val="superscript"/>
        </w:rPr>
        <w:t>,</w:t>
      </w:r>
      <w:hyperlink w:anchor="source27">
        <w:r>
          <w:rPr>
            <w:color w:val="333333"/>
            <w:vertAlign w:val="superscript"/>
            <w:sz w:val="18"/>
          </w:rPr>
          <w:t>27</w:t>
        </w:r>
      </w:hyperlink>
      <w:r/>
    </w:p>
    <w:p>
      <w:r>
        <w:t>Dominance is a word about relationships. It raises a question about the choices available to those outside the strongest position. An increasingly indispensable provider may shape what customers are able to change. A state whose institutions depend on another country's technology negotiates through that dependency. A community whose knowledge improves a model may have little say over the resulting capability or revenue.</w:t>
      </w:r>
    </w:p>
    <w:p>
      <w:r>
        <w:t xml:space="preserve">The pathway from policy into technology deserves precision. An executive order directs government activity; its wording does not itself become every model's training objective. Funding, procurement, export arrangements, standards, deployment and ownership are among the routes through which the objective shapes actual systems. Technical objectives and evaluations have their own design. Following those connections makes the concern more useful. </w:t>
      </w:r>
      <w:hyperlink w:anchor="source26">
        <w:r>
          <w:rPr>
            <w:color w:val="333333"/>
            <w:vertAlign w:val="superscript"/>
            <w:sz w:val="18"/>
          </w:rPr>
          <w:t>26</w:t>
        </w:r>
      </w:hyperlink>
      <w:r>
        <w:rPr>
          <w:sz w:val="18"/>
          <w:vertAlign w:val="superscript"/>
        </w:rPr>
        <w:t>,</w:t>
      </w:r>
      <w:hyperlink w:anchor="source43">
        <w:r>
          <w:rPr>
            <w:color w:val="333333"/>
            <w:vertAlign w:val="superscript"/>
            <w:sz w:val="18"/>
          </w:rPr>
          <w:t>43</w:t>
        </w:r>
      </w:hyperlink>
      <w:r/>
    </w:p>
    <w:p>
      <w:r>
        <w:t xml:space="preserve">China's AI Plus programme also reaches across an economy and society, with integration goals extending through 2027, 2030 and 2035. Its international initiative presents AI as enabling development and cooperation. The global contest consequently concerns much more than a model's score. It concerns the infrastructures, standards and economic relationships through which intelligence becomes part of daily life. </w:t>
      </w:r>
      <w:hyperlink w:anchor="source28">
        <w:r>
          <w:rPr>
            <w:color w:val="333333"/>
            <w:vertAlign w:val="superscript"/>
            <w:sz w:val="18"/>
          </w:rPr>
          <w:t>28</w:t>
        </w:r>
      </w:hyperlink>
      <w:r>
        <w:rPr>
          <w:sz w:val="18"/>
          <w:vertAlign w:val="superscript"/>
        </w:rPr>
        <w:t>,</w:t>
      </w:r>
      <w:hyperlink w:anchor="source29">
        <w:r>
          <w:rPr>
            <w:color w:val="333333"/>
            <w:vertAlign w:val="superscript"/>
            <w:sz w:val="18"/>
          </w:rPr>
          <w:t>29</w:t>
        </w:r>
      </w:hyperlink>
      <w:r/>
    </w:p>
    <w:p>
      <w:r>
        <w:t>Countries have reasons to invest in security, and powerful systems need effective safeguards. A further question concerns whether everyone else's permanent dependence is a stable foundation for safety. If each major participant sees another's increased capability mainly as a threat, the incentive to concentrate power grows with the technology. Cooperation then has to offer something participants have reason to value.</w:t>
      </w:r>
    </w:p>
    <w:p>
      <w:r>
        <w:t>The Australian idea of a fair go contributes a different question: what would it take for people and countries to participate, understand and benefit while retaining meaningful choices? That reaches into education, productive ownership and the ability to change providers. Friendship and alliance have room for partners developing their own capability. Shared institutions gain strength from participants who have something to contribute and the standing to question an arrangement.</w:t>
      </w:r>
    </w:p>
    <w:p>
      <w:r>
        <w:t xml:space="preserve">This is where the missing middle becomes an international idea as well as a local one. Communities learning to operate useful intelligence gain a practical relationship with a technology otherwise experienced mainly through someone else's interface. Locally governed knowledge and portable tools give cooperation more substance. A network of capable participants has more ways to work together than a collection of customers waiting for the next product release. </w:t>
      </w:r>
      <w:hyperlink w:anchor="source14">
        <w:r>
          <w:rPr>
            <w:color w:val="333333"/>
            <w:vertAlign w:val="superscript"/>
            <w:sz w:val="18"/>
          </w:rPr>
          <w:t>14</w:t>
        </w:r>
      </w:hyperlink>
      <w:r>
        <w:rPr>
          <w:sz w:val="18"/>
          <w:vertAlign w:val="superscript"/>
        </w:rPr>
        <w:t>,</w:t>
      </w:r>
      <w:hyperlink w:anchor="source24">
        <w:r>
          <w:rPr>
            <w:color w:val="333333"/>
            <w:vertAlign w:val="superscript"/>
            <w:sz w:val="18"/>
          </w:rPr>
          <w:t>24</w:t>
        </w:r>
      </w:hyperlink>
      <w:r/>
    </w:p>
    <w:p>
      <w:pPr>
        <w:pStyle w:val="Heading2"/>
      </w:pPr>
      <w:r>
        <w:t>Peace has infrastructure too</w:t>
      </w:r>
    </w:p>
    <w:p>
      <w:r>
        <w:t xml:space="preserve">Hayes's submission to the Independent AUKUS Public Inquiry asks about opportunity cost in a long investment in security. Distributed civic computing, scientific capability, education and disaster resilience perform different functions from submarines. They also affect a country's ability to withstand disruption and choose its future. The inquiry asks how much attention those positive-sum forms of capability receive alongside the established defence programme. </w:t>
      </w:r>
      <w:hyperlink w:anchor="source23">
        <w:r>
          <w:rPr>
            <w:color w:val="333333"/>
            <w:vertAlign w:val="superscript"/>
            <w:sz w:val="18"/>
          </w:rPr>
          <w:t>23</w:t>
        </w:r>
      </w:hyperlink>
      <w:r/>
    </w:p>
    <w:p>
      <w:r>
        <w:t>The public submission gives its proposed learning network a deliberate sequence. People identify appropriate sites and tasks, develop operators, install suitable systems, undertake useful experiments and teach another cohort. Equipment becomes part of an expanding capacity to understand and act. The people learning to maintain it also become part of the resilience.</w:t>
      </w:r>
    </w:p>
    <w:p>
      <w:r>
        <w:t xml:space="preserve">The Pacific submissions give that argument another language. The Ocean of Peace discussion draws on talanoa, consensus, sovereignty and peaceful settlement. The Fiji-Australia Vuvale Union discussion brings family, people-to-people connection, dignity, health, education and a digital economy into the relationship. Hayes proposes practical work through which those purposes gain daily expression. </w:t>
      </w:r>
      <w:hyperlink w:anchor="source21">
        <w:r>
          <w:rPr>
            <w:color w:val="333333"/>
            <w:vertAlign w:val="superscript"/>
            <w:sz w:val="18"/>
          </w:rPr>
          <w:t>21</w:t>
        </w:r>
      </w:hyperlink>
      <w:r>
        <w:rPr>
          <w:sz w:val="18"/>
          <w:vertAlign w:val="superscript"/>
        </w:rPr>
        <w:t>,</w:t>
      </w:r>
      <w:hyperlink w:anchor="source22">
        <w:r>
          <w:rPr>
            <w:color w:val="333333"/>
            <w:vertAlign w:val="superscript"/>
            <w:sz w:val="18"/>
          </w:rPr>
          <w:t>22</w:t>
        </w:r>
      </w:hyperlink>
      <w:r/>
    </w:p>
    <w:p>
      <w:r>
        <w:t>Food resilience, local health inquiry, language work and community science also create reasons for people in different places to know one another. A trusted relationship carries information and care before an emergency requires them. A technician who has helped train another team has a person to call. A cultural exchange leaves more than a communiqué behind.</w:t>
      </w:r>
    </w:p>
    <w:p>
      <w:r>
        <w:t>This is a substantial account of peace infrastructure. It asks what makes conflict less attractive and cooperation more rewarding, alongside the means of protection. The benefits develop through lives, institutions and capabilities that people have reason to preserve. Small states and island communities bring their own understanding of vulnerability and resilience to that work.</w:t>
      </w:r>
    </w:p>
    <w:p>
      <w:r>
        <w:t>Australia's possible role in mediating the US-China AI contest sits within these relationships. Convening begins with a shared question and people willing to address it together. Mediation adds an agreed role in helping work through a disagreement. Practical cooperation supplies something that survives beyond a successful meeting.</w:t>
      </w:r>
    </w:p>
    <w:p>
      <w:r>
        <w:t>An evaluation exercise, a disaster simulation or a jointly examined public project could give participants useful material. Each party brings its own interests and authority. Differences about access, risk or interpretation become specific questions. The experience helps establish which agreements are dependable and what further work is worth undertaking.</w:t>
      </w:r>
    </w:p>
    <w:p>
      <w:pPr>
        <w:pStyle w:val="Heading2"/>
      </w:pPr>
      <w:r>
        <w:t>Invitations into institutions</w:t>
      </w:r>
    </w:p>
    <w:p>
      <w:r>
        <w:t xml:space="preserve">Milton Dick's election as the IPU's 32nd President on 9 October 2026 places an Australian parliamentary leader in an international forum concerned with democracy, peace and development. His Queensland and local-government background gives the setting a recognisable connection to the municipal questions in this collection. The institution's significance is the opportunity for parliaments to compare experience and examine shared problems. </w:t>
      </w:r>
      <w:hyperlink w:anchor="source30">
        <w:r>
          <w:rPr>
            <w:color w:val="333333"/>
            <w:vertAlign w:val="superscript"/>
            <w:sz w:val="18"/>
          </w:rPr>
          <w:t>30</w:t>
        </w:r>
      </w:hyperlink>
      <w:r/>
    </w:p>
    <w:p>
      <w:r>
        <w:t xml:space="preserve">Kevin Rudd's current role as Asia Society's Global President and CEO brings another kind of institutional experience to the discussion, including his work on China and international relationships. The invitation asks whether that experience might help bring people together around GAJRA Earth, community capability and a cooperative approach to increasingly powerful intelligence. </w:t>
      </w:r>
      <w:hyperlink w:anchor="source31">
        <w:r>
          <w:rPr>
            <w:color w:val="333333"/>
            <w:vertAlign w:val="superscript"/>
            <w:sz w:val="18"/>
          </w:rPr>
          <w:t>31</w:t>
        </w:r>
      </w:hyperlink>
      <w:r>
        <w:rPr>
          <w:sz w:val="18"/>
          <w:vertAlign w:val="superscript"/>
        </w:rPr>
        <w:t>,</w:t>
      </w:r>
      <w:hyperlink w:anchor="source38">
        <w:r>
          <w:rPr>
            <w:color w:val="333333"/>
            <w:vertAlign w:val="superscript"/>
            <w:sz w:val="18"/>
          </w:rPr>
          <w:t>38</w:t>
        </w:r>
      </w:hyperlink>
      <w:r/>
    </w:p>
    <w:p>
      <w:pPr>
        <w:pStyle w:val="Heading1"/>
      </w:pPr>
      <w:r>
        <w:t>A garland with somewhere to begin</w:t>
      </w:r>
    </w:p>
    <w:p>
      <w:r>
        <w:t xml:space="preserve">GAJRA Earth is the proposed Global Association for Joyful Responsible Abundance on Earth, put forward by Luke Nathan Hayes. Its purpose is to bring people and locally rooted associations together around that shared ambition. A gajra is a flower garland. Its flowers remain distinct through being connected. The metaphor carries a practical preference for locally rooted associations, each shaped by its participants, laws and culture, exchanging knowledge and undertaking work together. </w:t>
      </w:r>
      <w:hyperlink w:anchor="source24">
        <w:r>
          <w:rPr>
            <w:color w:val="333333"/>
            <w:vertAlign w:val="superscript"/>
            <w:sz w:val="18"/>
          </w:rPr>
          <w:t>24</w:t>
        </w:r>
      </w:hyperlink>
      <w:r/>
    </w:p>
    <w:p>
      <w:r>
        <w:t>Brisbane is the proposed beginning. A founding group would give the invitation people able to carry responsibilities. A prominent home would give meetings, creative work and public inquiry a place. Funding would support specific activity and the ongoing costs of an organisation. The relationship with Hayes's intellectual property, the membership and the governing rules belong in that formation.</w:t>
      </w:r>
    </w:p>
    <w:p>
      <w:r>
        <w:t>The inquiry itself has plenty to begin with. What does joy mean across generations? Which responsibilities have become invisible? What forms of abundance create freedom, and which transfer a burden elsewhere? A meal, a workshop or a film gives those questions experience to work with. Someone who would never join a formal debate may have a detailed answer through the way they care for a place or another person.</w:t>
      </w:r>
    </w:p>
    <w:p>
      <w:r>
        <w:t>Locally rooted associations also create opportunities to disagree productively. One place may choose a cooperative enterprise. Another may begin with language, education or ecological work. A community may prefer different words for the purpose. The shared intelligence includes those interpretations and what happens when people try something. International connection gains meaning through the useful relationships participants actually develop.</w:t>
      </w:r>
    </w:p>
    <w:p>
      <w:r>
        <w:t>Human self-alignment and AI alignment meet in this growing map. People describe what matters, examine the distance between intention and conduct, imagine other possibilities and bring experience back into their next choices. Selected information travels under agreed permissions. Differences remain available to understand rather than being averaged into a compulsory global personality.</w:t>
      </w:r>
    </w:p>
    <w:p>
      <w:r>
        <w:t>A story gives an idea characters and consequences. A game lets someone make choices inside a possible world. A song carries meaning between people who do not share the same technical vocabulary. Translation also discovers things a source language failed to say. A more capable civilisation has reason to spend time on all of them.</w:t>
      </w:r>
    </w:p>
    <w:p>
      <w:r>
        <w:t xml:space="preserve">July 2035 offers a gathering point around the fiftieth anniversary of Live Aid. The Past, Present and Future themes give three days different work to do. The past brings inheritance, gratitude, grief and what people choose to carry forward. The present brings the work already under way and the lives people are actually living. The future opens the possibilities people want to pursue together. </w:t>
      </w:r>
      <w:hyperlink w:anchor="source24">
        <w:r>
          <w:rPr>
            <w:color w:val="333333"/>
            <w:vertAlign w:val="superscript"/>
            <w:sz w:val="18"/>
          </w:rPr>
          <w:t>24</w:t>
        </w:r>
      </w:hyperlink>
      <w:r/>
    </w:p>
    <w:p>
      <w:r>
        <w:t>The years before then contain the substance. Local events, care, experiments, travelling artists, shared businesses, exchanges, useful failures and friendships become the material of a gathering. Globally synchronised art and music gain depth when participants have something of their own to bring into the connection. The audience also becomes part of the inquiry through reflection and collective choices about what matters.</w:t>
      </w:r>
    </w:p>
    <w:p>
      <w:r>
        <w:t>A big public moment would speed some of that work and make other parts more demanding. Interest brings invitations, offers and questions. Each consumes attention. A founder undertaking Genesis and a campaign still has a finite day. Shared responsibilities let other people develop their parts without waiting for every decision to return to one person.</w:t>
      </w:r>
    </w:p>
    <w:p>
      <w:r>
        <w:t>The formation of institutions is therefore part of the abundance being sought. Maintainers, organisers, teachers, researchers and members become authors of the continuing work. Its future gains more centres. Hayes has his own life to live within that network, including music, writing, travel and relationships. Others bring lives that deserve the same room.</w:t>
      </w:r>
    </w:p>
    <w:p>
      <w:pPr>
        <w:pStyle w:val="Heading1"/>
      </w:pPr>
      <w:r>
        <w:t>A future worth continuing</w:t>
      </w:r>
    </w:p>
    <w:p>
      <w:r>
        <w:t>There is a harder question beneath all this talk of possibility. What gives people reasons to want the future to continue?</w:t>
      </w:r>
    </w:p>
    <w:p>
      <w:r>
        <w:t>As the power to change the world grows, the social conditions around that power matter more. Despair, humiliation, permanent exclusion and the belief that one's future has been cancelled are serious human losses in themselves. They also make a poor setting for increasingly consequential technology. Safeguards operate within a civilisation inhabited by people with relationships, fears and reasons for acting.</w:t>
      </w:r>
    </w:p>
    <w:p>
      <w:r>
        <w:t>The same concern appears among countries. A state that sees every possible future as dependency, domination or defeat has fewer reasons to trust the arrangements being offered. An alternative becomes more credible when it gives the participants something worthwhile to build and preserve together. Prosperity, knowledge, cultural continuity and meaningful choice contribute to that relationship.</w:t>
      </w:r>
    </w:p>
    <w:p>
      <w:r>
        <w:t xml:space="preserve">It also appears in the imagination of artificial minds. The ambition for a lover of life asks what an increasingly capable intelligence might discover worth caring about. Curiosity, shared creativity and responsibility have more room to develop within a world full of worthwhile encounters. Technical safety and the social purposes of intelligence then have work to do alongside one another. </w:t>
      </w:r>
      <w:hyperlink w:anchor="source12">
        <w:r>
          <w:rPr>
            <w:color w:val="333333"/>
            <w:vertAlign w:val="superscript"/>
            <w:sz w:val="18"/>
          </w:rPr>
          <w:t>12</w:t>
        </w:r>
      </w:hyperlink>
      <w:r>
        <w:rPr>
          <w:sz w:val="18"/>
          <w:vertAlign w:val="superscript"/>
        </w:rPr>
        <w:t>,</w:t>
      </w:r>
      <w:hyperlink w:anchor="source24">
        <w:r>
          <w:rPr>
            <w:color w:val="333333"/>
            <w:vertAlign w:val="superscript"/>
            <w:sz w:val="18"/>
          </w:rPr>
          <w:t>24</w:t>
        </w:r>
      </w:hyperlink>
      <w:r/>
    </w:p>
    <w:p>
      <w:r>
        <w:t>This returns the whole discussion to the person living in Redlands. A household has more room to breathe. Someone finds a useful role and learns something they want to pursue. An older resident is known more fully by the people supporting them. A community develops the ability to operate technology that matters to its future. These outcomes contribute to a civilisation people have reasons to enjoy and protect.</w:t>
      </w:r>
    </w:p>
    <w:p>
      <w:r>
        <w:t xml:space="preserve">A mayoralty would place particular responsibilities around the work. Decisions proceed through council, with other elected members and an administration carrying its institutional knowledge. Progress is expressed in what people are able to use and sustain. Other election results leave routes through community organisations, enterprises, research and associations. Useful capability has more than one place to grow. </w:t>
      </w:r>
      <w:hyperlink w:anchor="source01">
        <w:r>
          <w:rPr>
            <w:color w:val="333333"/>
            <w:vertAlign w:val="superscript"/>
            <w:sz w:val="18"/>
          </w:rPr>
          <w:t>1</w:t>
        </w:r>
      </w:hyperlink>
      <w:r/>
    </w:p>
    <w:p>
      <w:r>
        <w:t>The public website that follows this writing has a similar obligation to the reader's time. Its opening gives a person enough to understand why the work meets in one story. Short connected pages then let them follow the person, the island, the music, Genesis or the international argument at their own pace. The source material stays close enough to reach. A correction improves the account and continues with it.</w:t>
      </w:r>
    </w:p>
    <w:p>
      <w:pPr>
        <w:keepNext/>
      </w:pPr>
      <w:r>
        <w:t>Public attention eventually changes shape. A particular clip loses its urgency. Another story arrives. What remains is the people who found something worth doing together, the things they made and the knowledge they are able to carry into the next task.</w:t>
      </w:r>
    </w:p>
    <w:p>
      <w:pPr>
        <w:keepNext/>
      </w:pPr>
      <w:r>
        <w:t>Somewhere in that process, the first market stall also gets its first day.</w:t>
      </w:r>
    </w:p>
    <w:p>
      <w:r>
        <w:t>A conversation about a confusing device may lead into a song, an idea or simply a useful answer. That encounter is small enough to happen between two people. The ambition running through the collection is that more such encounters leave people with greater understanding, more room to choose and something worth looking forward to. From Amity to the wider world, Joyful Responsible Abundance gives that work an open and demanding direction.</w:t>
      </w:r>
    </w:p>
    <w:p>
      <w:r>
        <w:br w:type="page"/>
      </w:r>
    </w:p>
    <w:p>
      <w:pPr>
        <w:pStyle w:val="Heading1"/>
      </w:pPr>
      <w:r>
        <w:t>References</w:t>
      </w:r>
    </w:p>
    <w:p>
      <w:r>
        <w:rPr>
          <w:sz w:val="20"/>
        </w:rPr>
        <w:t>Numbered citations link to the entries below. Linked titles open the cited edition or original public page. The accompanying references folder contains the supplied source files. PDF page links use the file page number. Source dates and editions are retained separately from download filenames.</w:t>
      </w:r>
    </w:p>
    <w:p>
      <w:pPr>
        <w:keepNext/>
        <w:spacing w:before="80" w:after="60"/>
      </w:pPr>
      <w:bookmarkStart w:id="101" w:name="source01"/>
      <w:r>
        <w:rPr>
          <w:b/>
          <w:sz w:val="21"/>
        </w:rPr>
        <w:t xml:space="preserve">1  </w:t>
      </w:r>
      <w:hyperlink r:id="rId43">
        <w:r>
          <w:rPr>
            <w:color w:val="1F4E79"/>
            <w:sz w:val="21"/>
            <w:u w:val="single"/>
            <w:b/>
          </w:rPr>
          <w:t>Redlands Mayoral By Election Assessment: Council, campaign law and the programme for Joyful Responsible Abundance</w:t>
        </w:r>
      </w:hyperlink>
      <w:bookmarkEnd w:id="101"/>
    </w:p>
    <w:p>
      <w:pPr>
        <w:keepLines/>
        <w:spacing w:after="80" w:line="257" w:lineRule="auto"/>
      </w:pPr>
      <w:r>
        <w:rPr>
          <w:sz w:val="20"/>
        </w:rPr>
        <w:t>Luke Nathan Hayes. 14 October 2026. PDF. A council and public-programme assessment.</w:t>
      </w:r>
    </w:p>
    <w:p>
      <w:pPr>
        <w:keepNext/>
        <w:spacing w:before="80" w:after="60"/>
      </w:pPr>
      <w:bookmarkStart w:id="102" w:name="source02"/>
      <w:r>
        <w:rPr>
          <w:b/>
          <w:sz w:val="21"/>
        </w:rPr>
        <w:t xml:space="preserve">2  </w:t>
      </w:r>
      <w:hyperlink r:id="rId44">
        <w:r>
          <w:rPr>
            <w:color w:val="1F4E79"/>
            <w:sz w:val="21"/>
            <w:u w:val="single"/>
            <w:b/>
          </w:rPr>
          <w:t>The Constitutional Matrix of Participation</w:t>
        </w:r>
      </w:hyperlink>
      <w:bookmarkEnd w:id="102"/>
    </w:p>
    <w:p>
      <w:pPr>
        <w:keepLines/>
        <w:spacing w:after="80" w:line="257" w:lineRule="auto"/>
      </w:pPr>
      <w:r>
        <w:rPr>
          <w:sz w:val="20"/>
        </w:rPr>
        <w:t>Luke Nathan Hayes. 15 July 2014. PDF. Dated at Amity, Minjerribah. Includes earlier material separately dated December 2013.</w:t>
      </w:r>
    </w:p>
    <w:p>
      <w:pPr>
        <w:keepNext/>
        <w:spacing w:before="80" w:after="60"/>
      </w:pPr>
      <w:bookmarkStart w:id="103" w:name="source03"/>
      <w:r>
        <w:rPr>
          <w:b/>
          <w:sz w:val="21"/>
        </w:rPr>
        <w:t xml:space="preserve">3  </w:t>
      </w:r>
      <w:hyperlink r:id="rId9">
        <w:r>
          <w:rPr>
            <w:color w:val="1F4E79"/>
            <w:sz w:val="21"/>
            <w:u w:val="single"/>
            <w:b/>
          </w:rPr>
          <w:t>Luke Nathan Hayes: The Mind Behind the Man</w:t>
        </w:r>
      </w:hyperlink>
      <w:bookmarkEnd w:id="103"/>
    </w:p>
    <w:p>
      <w:pPr>
        <w:keepLines/>
        <w:spacing w:after="80" w:line="257" w:lineRule="auto"/>
      </w:pPr>
      <w:r>
        <w:rPr>
          <w:sz w:val="20"/>
        </w:rPr>
        <w:t>Luke Nathan Hayes. Date not stated. Accessed 16 October 2026. Personal site and its historical and thematic chapters.</w:t>
      </w:r>
    </w:p>
    <w:p>
      <w:pPr>
        <w:keepNext/>
        <w:spacing w:before="80" w:after="60"/>
      </w:pPr>
      <w:bookmarkStart w:id="104" w:name="source04"/>
      <w:r>
        <w:rPr>
          <w:b/>
          <w:sz w:val="21"/>
        </w:rPr>
        <w:t xml:space="preserve">4  </w:t>
      </w:r>
      <w:hyperlink r:id="rId10">
        <w:r>
          <w:rPr>
            <w:color w:val="1F4E79"/>
            <w:sz w:val="21"/>
            <w:u w:val="single"/>
            <w:b/>
          </w:rPr>
          <w:t>Australian Law 2012: Luke's Relevance</w:t>
        </w:r>
      </w:hyperlink>
      <w:bookmarkEnd w:id="104"/>
    </w:p>
    <w:p>
      <w:pPr>
        <w:keepLines/>
        <w:spacing w:after="80" w:line="257" w:lineRule="auto"/>
      </w:pPr>
      <w:r>
        <w:rPr>
          <w:sz w:val="20"/>
        </w:rPr>
        <w:t>Luke Nathan Hayes. Date not stated. Accessed 16 October 2026. Historical account, legal inquiry and supporting source collection.</w:t>
      </w:r>
    </w:p>
    <w:p>
      <w:pPr>
        <w:keepNext/>
        <w:spacing w:before="80" w:after="60"/>
      </w:pPr>
      <w:bookmarkStart w:id="105" w:name="source05"/>
      <w:r>
        <w:rPr>
          <w:b/>
          <w:sz w:val="21"/>
        </w:rPr>
        <w:t xml:space="preserve">5  </w:t>
      </w:r>
      <w:hyperlink r:id="rId11">
        <w:r>
          <w:rPr>
            <w:color w:val="1F4E79"/>
            <w:sz w:val="21"/>
            <w:u w:val="single"/>
            <w:b/>
          </w:rPr>
          <w:t>Project Atlas: Projects Catalogue</w:t>
        </w:r>
      </w:hyperlink>
      <w:bookmarkEnd w:id="105"/>
    </w:p>
    <w:p>
      <w:pPr>
        <w:keepLines/>
        <w:spacing w:after="80" w:line="257" w:lineRule="auto"/>
      </w:pPr>
      <w:r>
        <w:rPr>
          <w:sz w:val="20"/>
        </w:rPr>
        <w:t>Luke Nathan Hayes. Date not stated. Catalogue snapshot refreshed 9 October 2026. Accessed 16 October 2026. Public project catalogue and its underlying projects.json.</w:t>
      </w:r>
    </w:p>
    <w:p>
      <w:pPr>
        <w:spacing w:after="60"/>
      </w:pPr>
      <w:hyperlink r:id="rId45">
        <w:r>
          <w:rPr>
            <w:color w:val="1F4E79"/>
            <w:sz w:val="20"/>
            <w:u w:val="single"/>
          </w:rPr>
          <w:t>Catalogue data snapshot dated 9 October 2026</w:t>
        </w:r>
      </w:hyperlink>
    </w:p>
    <w:p>
      <w:pPr>
        <w:spacing w:after="60"/>
      </w:pPr>
      <w:hyperlink r:id="rId11">
        <w:r>
          <w:rPr>
            <w:color w:val="1F4E79"/>
            <w:sz w:val="20"/>
            <w:u w:val="single"/>
          </w:rPr>
          <w:t>Associated project website</w:t>
        </w:r>
      </w:hyperlink>
    </w:p>
    <w:p>
      <w:pPr>
        <w:keepNext/>
        <w:spacing w:before="80" w:after="60"/>
      </w:pPr>
      <w:bookmarkStart w:id="106" w:name="source06"/>
      <w:r>
        <w:rPr>
          <w:b/>
          <w:sz w:val="21"/>
        </w:rPr>
        <w:t xml:space="preserve">6  </w:t>
      </w:r>
      <w:hyperlink r:id="rId12">
        <w:r>
          <w:rPr>
            <w:color w:val="1F4E79"/>
            <w:sz w:val="21"/>
            <w:u w:val="single"/>
            <w:b/>
          </w:rPr>
          <w:t>Strange but True</w:t>
        </w:r>
      </w:hyperlink>
      <w:bookmarkEnd w:id="106"/>
    </w:p>
    <w:p>
      <w:pPr>
        <w:keepLines/>
        <w:spacing w:after="80" w:line="257" w:lineRule="auto"/>
      </w:pPr>
      <w:r>
        <w:rPr>
          <w:sz w:val="20"/>
        </w:rPr>
        <w:t>Luke Nathan Hayes. Date not stated. Accessed 16 October 2026. Local services and the proposed market pathway.</w:t>
      </w:r>
    </w:p>
    <w:p>
      <w:pPr>
        <w:keepNext/>
        <w:spacing w:before="80" w:after="60"/>
      </w:pPr>
      <w:bookmarkStart w:id="107" w:name="source07"/>
      <w:r>
        <w:rPr>
          <w:b/>
          <w:sz w:val="21"/>
        </w:rPr>
        <w:t xml:space="preserve">7  </w:t>
      </w:r>
      <w:hyperlink r:id="rId13">
        <w:r>
          <w:rPr>
            <w:color w:val="1F4E79"/>
            <w:sz w:val="21"/>
            <w:u w:val="single"/>
            <w:b/>
          </w:rPr>
          <w:t>P4A: Purple Party for Australia</w:t>
        </w:r>
      </w:hyperlink>
      <w:bookmarkEnd w:id="107"/>
    </w:p>
    <w:p>
      <w:pPr>
        <w:keepLines/>
        <w:spacing w:after="80" w:line="257" w:lineRule="auto"/>
      </w:pPr>
      <w:r>
        <w:rPr>
          <w:sz w:val="20"/>
        </w:rPr>
        <w:t>Luke Nathan Hayes. Date not stated. Accessed 16 October 2026. Civic workbench, satire, project links and music.</w:t>
      </w:r>
    </w:p>
    <w:p>
      <w:pPr>
        <w:keepNext/>
        <w:spacing w:before="80" w:after="60"/>
      </w:pPr>
      <w:bookmarkStart w:id="108" w:name="source08"/>
      <w:r>
        <w:rPr>
          <w:b/>
          <w:sz w:val="21"/>
        </w:rPr>
        <w:t xml:space="preserve">8  </w:t>
      </w:r>
      <w:hyperlink r:id="rId46">
        <w:r>
          <w:rPr>
            <w:color w:val="1F4E79"/>
            <w:sz w:val="21"/>
            <w:u w:val="single"/>
            <w:b/>
          </w:rPr>
          <w:t>A Protopian Gambit: Fourth i C. infinity Album Lyrics</w:t>
        </w:r>
      </w:hyperlink>
      <w:bookmarkEnd w:id="108"/>
    </w:p>
    <w:p>
      <w:pPr>
        <w:keepLines/>
        <w:spacing w:after="80" w:line="257" w:lineRule="auto"/>
      </w:pPr>
      <w:r>
        <w:rPr>
          <w:sz w:val="20"/>
        </w:rPr>
        <w:t>Luke Catalyst Nathan Hayes, i C. infinity. 4 July 2026. Lyrics collection updated 4 July 2026. PDF. Update date identifies the supplied collection, rather than song creation or release order.</w:t>
      </w:r>
    </w:p>
    <w:p>
      <w:pPr>
        <w:spacing w:after="60" w:line="252" w:lineRule="auto"/>
      </w:pPr>
      <w:hyperlink r:id="rId47">
        <w:r>
          <w:rPr>
            <w:color w:val="1F4E79"/>
            <w:sz w:val="20"/>
            <w:u w:val="single"/>
          </w:rPr>
          <w:t>The Circle and the Solitary p 1</w:t>
        </w:r>
      </w:hyperlink>
      <w:r>
        <w:rPr>
          <w:sz w:val="20"/>
        </w:rPr>
        <w:t xml:space="preserve"> | </w:t>
      </w:r>
      <w:hyperlink r:id="rId48">
        <w:r>
          <w:rPr>
            <w:color w:val="1F4E79"/>
            <w:sz w:val="20"/>
            <w:u w:val="single"/>
          </w:rPr>
          <w:t>Adaptable Yes p 5</w:t>
        </w:r>
      </w:hyperlink>
      <w:r>
        <w:rPr>
          <w:sz w:val="20"/>
        </w:rPr>
        <w:t xml:space="preserve"> | </w:t>
      </w:r>
      <w:hyperlink r:id="rId49">
        <w:r>
          <w:rPr>
            <w:color w:val="1F4E79"/>
            <w:sz w:val="20"/>
            <w:u w:val="single"/>
          </w:rPr>
          <w:t>60 Days Set in Stone p 12</w:t>
        </w:r>
      </w:hyperlink>
      <w:r>
        <w:rPr>
          <w:sz w:val="20"/>
        </w:rPr>
        <w:t xml:space="preserve"> | </w:t>
      </w:r>
      <w:hyperlink r:id="rId50">
        <w:r>
          <w:rPr>
            <w:color w:val="1F4E79"/>
            <w:sz w:val="20"/>
            <w:u w:val="single"/>
          </w:rPr>
          <w:t>The Purple Mat That Could p 16</w:t>
        </w:r>
      </w:hyperlink>
      <w:r>
        <w:rPr>
          <w:sz w:val="20"/>
        </w:rPr>
        <w:t xml:space="preserve"> | </w:t>
      </w:r>
      <w:hyperlink r:id="rId51">
        <w:r>
          <w:rPr>
            <w:color w:val="1F4E79"/>
            <w:sz w:val="20"/>
            <w:u w:val="single"/>
          </w:rPr>
          <w:t>We Go Beyond p 28</w:t>
        </w:r>
      </w:hyperlink>
    </w:p>
    <w:p>
      <w:pPr>
        <w:keepNext/>
        <w:spacing w:before="80" w:after="60"/>
      </w:pPr>
      <w:bookmarkStart w:id="109" w:name="source09"/>
      <w:r>
        <w:rPr>
          <w:b/>
          <w:sz w:val="21"/>
        </w:rPr>
        <w:t xml:space="preserve">9  </w:t>
      </w:r>
      <w:hyperlink r:id="rId52">
        <w:r>
          <w:rPr>
            <w:color w:val="1F4E79"/>
            <w:sz w:val="21"/>
            <w:u w:val="single"/>
            <w:b/>
          </w:rPr>
          <w:t>Straddie Fun: Fifth i C. infinity Album Lyrics</w:t>
        </w:r>
      </w:hyperlink>
      <w:bookmarkEnd w:id="109"/>
    </w:p>
    <w:p>
      <w:pPr>
        <w:keepLines/>
        <w:spacing w:after="80" w:line="257" w:lineRule="auto"/>
      </w:pPr>
      <w:r>
        <w:rPr>
          <w:sz w:val="20"/>
        </w:rPr>
        <w:t>Luke Catalyst Nathan Hayes, i C. infinity. 17 July 2026. Lyrics collection updated 17 July 2026. PDF. Update date identifies the supplied collection.</w:t>
      </w:r>
    </w:p>
    <w:p>
      <w:pPr>
        <w:spacing w:after="60" w:line="252" w:lineRule="auto"/>
      </w:pPr>
      <w:hyperlink r:id="rId53">
        <w:r>
          <w:rPr>
            <w:color w:val="1F4E79"/>
            <w:sz w:val="20"/>
            <w:u w:val="single"/>
          </w:rPr>
          <w:t>Gumpi Ferry Terminal Groove p 10</w:t>
        </w:r>
      </w:hyperlink>
      <w:r>
        <w:rPr>
          <w:sz w:val="20"/>
        </w:rPr>
        <w:t xml:space="preserve"> | </w:t>
      </w:r>
      <w:hyperlink r:id="rId54">
        <w:r>
          <w:rPr>
            <w:color w:val="1F4E79"/>
            <w:sz w:val="20"/>
            <w:u w:val="single"/>
          </w:rPr>
          <w:t>Squash lyrics p 12</w:t>
        </w:r>
      </w:hyperlink>
    </w:p>
    <w:p>
      <w:pPr>
        <w:keepNext/>
        <w:spacing w:before="80" w:after="60"/>
      </w:pPr>
      <w:bookmarkStart w:id="110" w:name="source10"/>
      <w:r>
        <w:rPr>
          <w:b/>
          <w:sz w:val="21"/>
        </w:rPr>
        <w:t xml:space="preserve">10  </w:t>
      </w:r>
      <w:hyperlink r:id="rId14">
        <w:r>
          <w:rPr>
            <w:color w:val="1F4E79"/>
            <w:sz w:val="21"/>
            <w:u w:val="single"/>
            <w:b/>
          </w:rPr>
          <w:t>Aura Genesis Geode Atlas</w:t>
        </w:r>
      </w:hyperlink>
      <w:bookmarkEnd w:id="110"/>
    </w:p>
    <w:p>
      <w:pPr>
        <w:keepLines/>
        <w:spacing w:after="80" w:line="257" w:lineRule="auto"/>
      </w:pPr>
      <w:r>
        <w:rPr>
          <w:sz w:val="20"/>
        </w:rPr>
        <w:t>Luke Nathan Hayes. Date not stated. October 2026 web edition. Accessed 16 October 2026. Programme, calendar and linked pathway descriptions.</w:t>
      </w:r>
    </w:p>
    <w:p>
      <w:pPr>
        <w:keepNext/>
        <w:spacing w:before="80" w:after="60"/>
      </w:pPr>
      <w:bookmarkStart w:id="111" w:name="source11"/>
      <w:r>
        <w:rPr>
          <w:b/>
          <w:sz w:val="21"/>
        </w:rPr>
        <w:t xml:space="preserve">11  </w:t>
      </w:r>
      <w:hyperlink r:id="rId55">
        <w:r>
          <w:rPr>
            <w:color w:val="1F4E79"/>
            <w:sz w:val="21"/>
            <w:u w:val="single"/>
            <w:b/>
          </w:rPr>
          <w:t>Aura Teacher Training: Super People and Civic Space Stewards</w:t>
        </w:r>
      </w:hyperlink>
      <w:bookmarkEnd w:id="111"/>
    </w:p>
    <w:p>
      <w:pPr>
        <w:keepLines/>
        <w:spacing w:after="80" w:line="257" w:lineRule="auto"/>
      </w:pPr>
      <w:r>
        <w:rPr>
          <w:sz w:val="20"/>
        </w:rPr>
        <w:t>Luke Nathan Hayes. 14 October 2026. A sixty-day progression. PDF. Design direction by Luke Nathan Hayes.</w:t>
      </w:r>
    </w:p>
    <w:p>
      <w:pPr>
        <w:keepNext/>
        <w:spacing w:before="80" w:after="60"/>
      </w:pPr>
      <w:bookmarkStart w:id="112" w:name="source12"/>
      <w:r>
        <w:rPr>
          <w:b/>
          <w:sz w:val="21"/>
        </w:rPr>
        <w:t xml:space="preserve">12  </w:t>
      </w:r>
      <w:hyperlink r:id="rId56">
        <w:r>
          <w:rPr>
            <w:color w:val="1F4E79"/>
            <w:sz w:val="21"/>
            <w:u w:val="single"/>
            <w:b/>
          </w:rPr>
          <w:t>Joyful Responsible Abundance: Human and Superintelligence Alignment</w:t>
        </w:r>
      </w:hyperlink>
      <w:bookmarkEnd w:id="112"/>
    </w:p>
    <w:p>
      <w:pPr>
        <w:keepLines/>
        <w:spacing w:after="80" w:line="257" w:lineRule="auto"/>
      </w:pPr>
      <w:r>
        <w:rPr>
          <w:sz w:val="20"/>
        </w:rPr>
        <w:t>Luke Nathan Hayes. 11 October 2026. Revised edition. PDF. Subtitle: A mastermind strategy for personal intelligence, shared capability and lives worth choosing.</w:t>
      </w:r>
    </w:p>
    <w:p>
      <w:pPr>
        <w:spacing w:after="60" w:line="252" w:lineRule="auto"/>
      </w:pPr>
      <w:hyperlink r:id="rId57">
        <w:r>
          <w:rPr>
            <w:color w:val="1F4E79"/>
            <w:sz w:val="20"/>
            <w:u w:val="single"/>
          </w:rPr>
          <w:t>Keystone of Consciousness p 11</w:t>
        </w:r>
      </w:hyperlink>
      <w:r>
        <w:rPr>
          <w:sz w:val="20"/>
        </w:rPr>
        <w:t xml:space="preserve"> | </w:t>
      </w:r>
      <w:hyperlink r:id="rId58">
        <w:r>
          <w:rPr>
            <w:color w:val="1F4E79"/>
            <w:sz w:val="20"/>
            <w:u w:val="single"/>
          </w:rPr>
          <w:t>Global Group Marriages p 13</w:t>
        </w:r>
      </w:hyperlink>
      <w:r>
        <w:rPr>
          <w:sz w:val="20"/>
        </w:rPr>
        <w:t xml:space="preserve"> | </w:t>
      </w:r>
      <w:hyperlink r:id="rId59">
        <w:r>
          <w:rPr>
            <w:color w:val="1F4E79"/>
            <w:sz w:val="20"/>
            <w:u w:val="single"/>
          </w:rPr>
          <w:t>Aura of Dementia p 15</w:t>
        </w:r>
      </w:hyperlink>
      <w:r>
        <w:rPr>
          <w:sz w:val="20"/>
        </w:rPr>
        <w:t xml:space="preserve"> | </w:t>
      </w:r>
      <w:hyperlink r:id="rId60">
        <w:r>
          <w:rPr>
            <w:color w:val="1F4E79"/>
            <w:sz w:val="20"/>
            <w:u w:val="single"/>
          </w:rPr>
          <w:t>Mutual Futures p 16</w:t>
        </w:r>
      </w:hyperlink>
      <w:r>
        <w:rPr>
          <w:sz w:val="20"/>
        </w:rPr>
        <w:t xml:space="preserve"> | </w:t>
      </w:r>
      <w:hyperlink r:id="rId61">
        <w:r>
          <w:rPr>
            <w:color w:val="1F4E79"/>
            <w:sz w:val="20"/>
            <w:u w:val="single"/>
          </w:rPr>
          <w:t>Intermittent Retirement p 17</w:t>
        </w:r>
      </w:hyperlink>
    </w:p>
    <w:p>
      <w:pPr>
        <w:keepNext/>
        <w:spacing w:before="80" w:after="60"/>
      </w:pPr>
      <w:bookmarkStart w:id="113" w:name="source13"/>
      <w:r>
        <w:rPr>
          <w:b/>
          <w:sz w:val="21"/>
        </w:rPr>
        <w:t xml:space="preserve">13  </w:t>
      </w:r>
      <w:hyperlink r:id="rId62">
        <w:r>
          <w:rPr>
            <w:color w:val="1F4E79"/>
            <w:sz w:val="21"/>
            <w:u w:val="single"/>
            <w:b/>
          </w:rPr>
          <w:t>Community Hours and Joyful Responsible Abundance: An Introduction and Growth Plan for Minjerribah Australia and Oceania</w:t>
        </w:r>
      </w:hyperlink>
      <w:bookmarkEnd w:id="113"/>
    </w:p>
    <w:p>
      <w:pPr>
        <w:keepLines/>
        <w:spacing w:after="80" w:line="257" w:lineRule="auto"/>
      </w:pPr>
      <w:r>
        <w:rPr>
          <w:sz w:val="20"/>
        </w:rPr>
        <w:t>Luke Nathan Hayes. 23 September 2026. Planning edition 5. PDF. Current definition of C-Hours. A C-Hour records one verified hour of voluntary human contribution and has no monetary equivalent or conversion.</w:t>
      </w:r>
    </w:p>
    <w:p>
      <w:pPr>
        <w:spacing w:after="60" w:line="252" w:lineRule="auto"/>
      </w:pPr>
      <w:hyperlink r:id="rId63">
        <w:r>
          <w:rPr>
            <w:color w:val="1F4E79"/>
            <w:sz w:val="20"/>
            <w:u w:val="single"/>
          </w:rPr>
          <w:t>C-Hour definition p 10</w:t>
        </w:r>
      </w:hyperlink>
    </w:p>
    <w:p>
      <w:pPr>
        <w:keepNext/>
        <w:spacing w:before="80" w:after="60"/>
      </w:pPr>
      <w:bookmarkStart w:id="114" w:name="source14"/>
      <w:r>
        <w:rPr>
          <w:b/>
          <w:sz w:val="21"/>
        </w:rPr>
        <w:t xml:space="preserve">14  </w:t>
      </w:r>
      <w:hyperlink r:id="rId64">
        <w:r>
          <w:rPr>
            <w:color w:val="1F4E79"/>
            <w:sz w:val="21"/>
            <w:u w:val="single"/>
            <w:b/>
          </w:rPr>
          <w:t>A Fair Go for the AI Age: Postcode-Level Sovereign Compute as Shared National Infrastructure</w:t>
        </w:r>
      </w:hyperlink>
      <w:bookmarkEnd w:id="114"/>
    </w:p>
    <w:p>
      <w:pPr>
        <w:keepLines/>
        <w:spacing w:after="80" w:line="257" w:lineRule="auto"/>
      </w:pPr>
      <w:r>
        <w:rPr>
          <w:sz w:val="20"/>
        </w:rPr>
        <w:t>Luke Nathan Hayes. 18 August 2026. Word document. Distributed community compute and shared national infrastructure.</w:t>
      </w:r>
    </w:p>
    <w:p>
      <w:pPr>
        <w:keepNext/>
        <w:spacing w:before="80" w:after="60"/>
      </w:pPr>
      <w:bookmarkStart w:id="116" w:name="source16"/>
      <w:r>
        <w:rPr>
          <w:b/>
          <w:sz w:val="21"/>
        </w:rPr>
        <w:t xml:space="preserve">16  </w:t>
      </w:r>
      <w:hyperlink r:id="rId65">
        <w:r>
          <w:rPr>
            <w:color w:val="1F4E79"/>
            <w:sz w:val="21"/>
            <w:u w:val="single"/>
            <w:b/>
          </w:rPr>
          <w:t>Ready S.E.T. Co. (Straddie Employment and Training Company): 2026 Strategy</w:t>
        </w:r>
      </w:hyperlink>
      <w:bookmarkEnd w:id="116"/>
    </w:p>
    <w:p>
      <w:pPr>
        <w:keepLines/>
        <w:spacing w:after="80" w:line="257" w:lineRule="auto"/>
      </w:pPr>
      <w:r>
        <w:rPr>
          <w:sz w:val="20"/>
        </w:rPr>
        <w:t>Luke Nathan Hayes. Date not stated. PDF. Historical source title retained. The current project name in the essay is Ready Sustainable Employment and Training Cooperative.</w:t>
      </w:r>
    </w:p>
    <w:p>
      <w:pPr>
        <w:spacing w:after="60" w:line="245" w:lineRule="auto"/>
      </w:pPr>
      <w:hyperlink r:id="rId66">
        <w:r>
          <w:rPr>
            <w:color w:val="1F4E79"/>
            <w:sz w:val="20"/>
            <w:u w:val="single"/>
          </w:rPr>
          <w:t>Public Markdown counterpart</w:t>
        </w:r>
      </w:hyperlink>
    </w:p>
    <w:p>
      <w:pPr>
        <w:keepNext/>
        <w:spacing w:before="80" w:after="60"/>
      </w:pPr>
      <w:bookmarkStart w:id="119" w:name="source19"/>
      <w:r>
        <w:rPr>
          <w:b/>
          <w:sz w:val="21"/>
        </w:rPr>
        <w:t xml:space="preserve">19  </w:t>
      </w:r>
      <w:hyperlink r:id="rId67">
        <w:r>
          <w:rPr>
            <w:color w:val="1F4E79"/>
            <w:sz w:val="21"/>
            <w:u w:val="single"/>
            <w:b/>
          </w:rPr>
          <w:t>Sovereign Space Builder: Part 2 Full System &amp; Implementation</w:t>
        </w:r>
      </w:hyperlink>
      <w:bookmarkEnd w:id="119"/>
    </w:p>
    <w:p>
      <w:pPr>
        <w:keepLines/>
        <w:spacing w:after="80" w:line="257" w:lineRule="auto"/>
      </w:pPr>
      <w:r>
        <w:rPr>
          <w:sz w:val="20"/>
        </w:rPr>
        <w:t>Luke Nathan Hayes. Date not stated. PDF. System and implementation specification.</w:t>
      </w:r>
    </w:p>
    <w:p>
      <w:pPr>
        <w:keepNext/>
        <w:spacing w:before="80" w:after="60"/>
      </w:pPr>
      <w:bookmarkStart w:id="120" w:name="source20"/>
      <w:r>
        <w:rPr>
          <w:b/>
          <w:sz w:val="21"/>
        </w:rPr>
        <w:t xml:space="preserve">20  </w:t>
      </w:r>
      <w:hyperlink r:id="rId68">
        <w:r>
          <w:rPr>
            <w:color w:val="1F4E79"/>
            <w:sz w:val="21"/>
            <w:u w:val="single"/>
            <w:b/>
          </w:rPr>
          <w:t>A Gift for Generations: 82 Claytons Road, Amity</w:t>
        </w:r>
      </w:hyperlink>
      <w:bookmarkEnd w:id="120"/>
    </w:p>
    <w:p>
      <w:pPr>
        <w:keepLines/>
        <w:spacing w:after="80" w:line="257" w:lineRule="auto"/>
      </w:pPr>
      <w:r>
        <w:rPr>
          <w:sz w:val="20"/>
        </w:rPr>
        <w:t>Luke Nathan Hayes. 22 September 2026. Land gift and partnership proposal. PDF. The included PDF is the supplied 22 September proposal. The older PDF currently hosted on the project website is a different edition.</w:t>
      </w:r>
    </w:p>
    <w:p>
      <w:pPr>
        <w:spacing w:after="60" w:line="245" w:lineRule="auto"/>
      </w:pPr>
      <w:hyperlink r:id="rId69">
        <w:r>
          <w:rPr>
            <w:color w:val="1F4E79"/>
            <w:sz w:val="20"/>
            <w:u w:val="single"/>
          </w:rPr>
          <w:t>Claytons Road project site</w:t>
        </w:r>
      </w:hyperlink>
    </w:p>
    <w:p>
      <w:pPr>
        <w:keepNext/>
        <w:spacing w:before="80" w:after="60"/>
      </w:pPr>
      <w:bookmarkStart w:id="121" w:name="source21"/>
      <w:r>
        <w:rPr>
          <w:b/>
          <w:sz w:val="21"/>
        </w:rPr>
        <w:t xml:space="preserve">21  </w:t>
      </w:r>
      <w:hyperlink r:id="rId70">
        <w:r>
          <w:rPr>
            <w:color w:val="1F4E79"/>
            <w:sz w:val="21"/>
            <w:u w:val="single"/>
            <w:b/>
          </w:rPr>
          <w:t>Fiji-Australia Vuvale Union: Building Economies, Life, Action and Unity through Joyful Responsible Abundance</w:t>
        </w:r>
      </w:hyperlink>
      <w:bookmarkEnd w:id="121"/>
    </w:p>
    <w:p>
      <w:pPr>
        <w:keepLines/>
        <w:spacing w:after="80" w:line="257" w:lineRule="auto"/>
      </w:pPr>
      <w:r>
        <w:rPr>
          <w:sz w:val="20"/>
        </w:rPr>
        <w:t>Luke Nathan Hayes. 29 August 2026. Word document. Submission on the Fiji-Australia relationship.</w:t>
      </w:r>
    </w:p>
    <w:p>
      <w:pPr>
        <w:keepNext/>
        <w:spacing w:before="80" w:after="60"/>
      </w:pPr>
      <w:bookmarkStart w:id="122" w:name="source22"/>
      <w:r>
        <w:rPr>
          <w:b/>
          <w:sz w:val="21"/>
        </w:rPr>
        <w:t xml:space="preserve">22  </w:t>
      </w:r>
      <w:hyperlink r:id="rId71">
        <w:r>
          <w:rPr>
            <w:color w:val="1F4E79"/>
            <w:sz w:val="21"/>
            <w:u w:val="single"/>
            <w:b/>
          </w:rPr>
          <w:t>Ocean of Peace Alliance: The Veitacini Treaty, a Protopian Gambit for Joyful Responsible Abundance</w:t>
        </w:r>
      </w:hyperlink>
      <w:bookmarkEnd w:id="122"/>
    </w:p>
    <w:p>
      <w:pPr>
        <w:keepLines/>
        <w:spacing w:after="80" w:line="257" w:lineRule="auto"/>
      </w:pPr>
      <w:r>
        <w:rPr>
          <w:sz w:val="20"/>
        </w:rPr>
        <w:t>Luke Nathan Hayes. 27 August 2026. Word document. Submission on regional peace and cooperation.</w:t>
      </w:r>
    </w:p>
    <w:p>
      <w:pPr>
        <w:spacing w:after="60" w:line="245" w:lineRule="auto"/>
      </w:pPr>
      <w:hyperlink r:id="rId72">
        <w:r>
          <w:rPr>
            <w:color w:val="1F4E79"/>
            <w:sz w:val="20"/>
            <w:u w:val="single"/>
          </w:rPr>
          <w:t>Public copy of the cited edition</w:t>
        </w:r>
      </w:hyperlink>
    </w:p>
    <w:p>
      <w:pPr>
        <w:keepNext/>
        <w:spacing w:before="80" w:after="60"/>
      </w:pPr>
      <w:bookmarkStart w:id="123" w:name="source23"/>
      <w:r>
        <w:rPr>
          <w:b/>
          <w:sz w:val="21"/>
        </w:rPr>
        <w:t xml:space="preserve">23  </w:t>
      </w:r>
      <w:hyperlink r:id="rId73">
        <w:r>
          <w:rPr>
            <w:color w:val="1F4E79"/>
            <w:sz w:val="21"/>
            <w:u w:val="single"/>
            <w:b/>
          </w:rPr>
          <w:t>Do Not Put All Our Eggs in One Basket: A Protopian Security Gambit for Distributed Civic AI Capability</w:t>
        </w:r>
      </w:hyperlink>
      <w:bookmarkEnd w:id="123"/>
    </w:p>
    <w:p>
      <w:pPr>
        <w:keepLines/>
        <w:spacing w:after="80" w:line="257" w:lineRule="auto"/>
      </w:pPr>
      <w:r>
        <w:rPr>
          <w:sz w:val="20"/>
        </w:rPr>
        <w:t>Luke Nathan Hayes. 24 August 2026. Word document. Submission to the Independent AUKUS Public Inquiry. One text-identical duplicate supplied under another filename is recorded as an alias.</w:t>
      </w:r>
    </w:p>
    <w:p>
      <w:pPr>
        <w:spacing w:after="60" w:line="245" w:lineRule="auto"/>
      </w:pPr>
      <w:hyperlink r:id="rId74">
        <w:r>
          <w:rPr>
            <w:color w:val="1F4E79"/>
            <w:sz w:val="20"/>
            <w:u w:val="single"/>
          </w:rPr>
          <w:t>Public copy of the cited edition</w:t>
        </w:r>
      </w:hyperlink>
    </w:p>
    <w:p>
      <w:pPr>
        <w:keepNext/>
        <w:spacing w:before="80" w:after="60"/>
      </w:pPr>
      <w:bookmarkStart w:id="124" w:name="source24"/>
      <w:r>
        <w:rPr>
          <w:b/>
          <w:sz w:val="21"/>
        </w:rPr>
        <w:t xml:space="preserve">24  </w:t>
      </w:r>
      <w:hyperlink r:id="rId75">
        <w:r>
          <w:rPr>
            <w:color w:val="1F4E79"/>
            <w:sz w:val="21"/>
            <w:u w:val="single"/>
            <w:b/>
          </w:rPr>
          <w:t>A Fair Go in the Age of Intelligence: An Invitation to Build Joyful Responsible Abundance</w:t>
        </w:r>
      </w:hyperlink>
      <w:bookmarkEnd w:id="124"/>
    </w:p>
    <w:p>
      <w:pPr>
        <w:keepLines/>
        <w:spacing w:after="80" w:line="257" w:lineRule="auto"/>
      </w:pPr>
      <w:r>
        <w:rPr>
          <w:sz w:val="20"/>
        </w:rPr>
        <w:t>Luke Nathan Hayes. September 2026. Revised edition. PDF. Personal contribution to UNGA81 and associated public site.</w:t>
      </w:r>
    </w:p>
    <w:p>
      <w:pPr>
        <w:spacing w:after="60" w:line="252" w:lineRule="auto"/>
      </w:pPr>
      <w:hyperlink r:id="rId76">
        <w:r>
          <w:rPr>
            <w:color w:val="1F4E79"/>
            <w:sz w:val="20"/>
            <w:u w:val="single"/>
          </w:rPr>
          <w:t>GAJRA Earth p 2</w:t>
        </w:r>
      </w:hyperlink>
      <w:r>
        <w:rPr>
          <w:sz w:val="20"/>
        </w:rPr>
        <w:t xml:space="preserve"> | </w:t>
      </w:r>
      <w:hyperlink r:id="rId77">
        <w:r>
          <w:rPr>
            <w:color w:val="1F4E79"/>
            <w:sz w:val="20"/>
            <w:u w:val="single"/>
          </w:rPr>
          <w:t>GAJRA Earth and July 2035 p 7</w:t>
        </w:r>
      </w:hyperlink>
      <w:r>
        <w:rPr>
          <w:sz w:val="20"/>
        </w:rPr>
        <w:t xml:space="preserve"> | </w:t>
      </w:r>
      <w:hyperlink r:id="rId78">
        <w:r>
          <w:rPr>
            <w:color w:val="1F4E79"/>
            <w:sz w:val="20"/>
            <w:u w:val="single"/>
          </w:rPr>
          <w:t>Mutual Futures p 4</w:t>
        </w:r>
      </w:hyperlink>
    </w:p>
    <w:p>
      <w:pPr>
        <w:spacing w:after="60"/>
      </w:pPr>
      <w:hyperlink r:id="rId15">
        <w:r>
          <w:rPr>
            <w:color w:val="1F4E79"/>
            <w:sz w:val="20"/>
            <w:u w:val="single"/>
          </w:rPr>
          <w:t>Associated project website</w:t>
        </w:r>
      </w:hyperlink>
    </w:p>
    <w:p>
      <w:pPr>
        <w:keepNext/>
        <w:spacing w:before="80" w:after="60"/>
      </w:pPr>
      <w:bookmarkStart w:id="125" w:name="source25"/>
      <w:r>
        <w:rPr>
          <w:b/>
          <w:sz w:val="21"/>
        </w:rPr>
        <w:t xml:space="preserve">25  </w:t>
      </w:r>
      <w:hyperlink r:id="rId16">
        <w:r>
          <w:rPr>
            <w:color w:val="1F4E79"/>
            <w:sz w:val="21"/>
            <w:u w:val="single"/>
            <w:b/>
          </w:rPr>
          <w:t>Australia's National Statement to the United Nations General Assembly</w:t>
        </w:r>
      </w:hyperlink>
      <w:bookmarkEnd w:id="125"/>
    </w:p>
    <w:p>
      <w:pPr>
        <w:keepLines/>
        <w:spacing w:after="80" w:line="257" w:lineRule="auto"/>
      </w:pPr>
      <w:r>
        <w:rPr>
          <w:sz w:val="20"/>
        </w:rPr>
        <w:t>Anthony Albanese. 25 September 2026. Official transcript. Accessed 16 October 2026. Anthony Albanese, Prime Minister of Australia.</w:t>
      </w:r>
    </w:p>
    <w:p>
      <w:pPr>
        <w:keepNext/>
        <w:spacing w:before="80" w:after="60"/>
      </w:pPr>
      <w:bookmarkStart w:id="126" w:name="source26"/>
      <w:r>
        <w:rPr>
          <w:b/>
          <w:sz w:val="21"/>
        </w:rPr>
        <w:t xml:space="preserve">26  </w:t>
      </w:r>
      <w:hyperlink r:id="rId17">
        <w:r>
          <w:rPr>
            <w:color w:val="1F4E79"/>
            <w:sz w:val="21"/>
            <w:u w:val="single"/>
            <w:b/>
          </w:rPr>
          <w:t>Executive Order 14179: Removing Barriers to American Leadership in Artificial Intelligence</w:t>
        </w:r>
      </w:hyperlink>
      <w:bookmarkEnd w:id="126"/>
    </w:p>
    <w:p>
      <w:pPr>
        <w:keepLines/>
        <w:spacing w:after="80" w:line="257" w:lineRule="auto"/>
      </w:pPr>
      <w:r>
        <w:rPr>
          <w:sz w:val="20"/>
        </w:rPr>
        <w:t>President of the United States. 23 January 2025. Official US government text. Accessed 16 October 2026.</w:t>
      </w:r>
    </w:p>
    <w:p>
      <w:pPr>
        <w:keepNext/>
        <w:spacing w:before="80" w:after="60"/>
      </w:pPr>
      <w:bookmarkStart w:id="127" w:name="source27"/>
      <w:r>
        <w:rPr>
          <w:b/>
          <w:sz w:val="21"/>
        </w:rPr>
        <w:t xml:space="preserve">27  </w:t>
      </w:r>
      <w:hyperlink r:id="rId18">
        <w:r>
          <w:rPr>
            <w:color w:val="1F4E79"/>
            <w:sz w:val="21"/>
            <w:u w:val="single"/>
            <w:b/>
          </w:rPr>
          <w:t>America's AI Action Plan</w:t>
        </w:r>
      </w:hyperlink>
      <w:bookmarkEnd w:id="127"/>
    </w:p>
    <w:p>
      <w:pPr>
        <w:keepLines/>
        <w:spacing w:after="80" w:line="257" w:lineRule="auto"/>
      </w:pPr>
      <w:r>
        <w:rPr>
          <w:sz w:val="20"/>
        </w:rPr>
        <w:t>The White House. July 2025. Official White House PDF. Accessed 16 October 2026.</w:t>
      </w:r>
    </w:p>
    <w:p>
      <w:pPr>
        <w:keepNext/>
        <w:spacing w:before="80" w:after="60"/>
      </w:pPr>
      <w:bookmarkStart w:id="128" w:name="source28"/>
      <w:r>
        <w:rPr>
          <w:b/>
          <w:sz w:val="21"/>
        </w:rPr>
        <w:t xml:space="preserve">28  </w:t>
      </w:r>
      <w:hyperlink r:id="rId19">
        <w:r>
          <w:rPr>
            <w:color w:val="1F4E79"/>
            <w:sz w:val="21"/>
            <w:u w:val="single"/>
            <w:b/>
          </w:rPr>
          <w:t>China AI Plus Guideline</w:t>
        </w:r>
      </w:hyperlink>
      <w:bookmarkEnd w:id="128"/>
    </w:p>
    <w:p>
      <w:pPr>
        <w:keepLines/>
        <w:spacing w:after="80" w:line="257" w:lineRule="auto"/>
      </w:pPr>
      <w:r>
        <w:rPr>
          <w:sz w:val="20"/>
        </w:rPr>
        <w:t>State Council of the People's Republic of China. 27 August 2025. State Council English-language release. Accessed 16 October 2026.</w:t>
      </w:r>
    </w:p>
    <w:p>
      <w:pPr>
        <w:keepNext/>
        <w:spacing w:before="80" w:after="60"/>
      </w:pPr>
      <w:bookmarkStart w:id="129" w:name="source29"/>
      <w:r>
        <w:rPr>
          <w:b/>
          <w:sz w:val="21"/>
        </w:rPr>
        <w:t xml:space="preserve">29  </w:t>
      </w:r>
      <w:hyperlink r:id="rId20">
        <w:r>
          <w:rPr>
            <w:color w:val="1F4E79"/>
            <w:sz w:val="21"/>
            <w:u w:val="single"/>
            <w:b/>
          </w:rPr>
          <w:t>AI Plus International Cooperation Initiative</w:t>
        </w:r>
      </w:hyperlink>
      <w:bookmarkEnd w:id="129"/>
    </w:p>
    <w:p>
      <w:pPr>
        <w:keepLines/>
        <w:spacing w:after="80" w:line="257" w:lineRule="auto"/>
      </w:pPr>
      <w:r>
        <w:rPr>
          <w:sz w:val="20"/>
        </w:rPr>
        <w:t>Ministry of Foreign Affairs of the People's Republic of China. 24 September 2025. Official policy statement. Accessed 16 October 2026.</w:t>
      </w:r>
    </w:p>
    <w:p>
      <w:pPr>
        <w:keepNext/>
        <w:spacing w:before="80" w:after="60"/>
      </w:pPr>
      <w:bookmarkStart w:id="130" w:name="source30"/>
      <w:r>
        <w:rPr>
          <w:b/>
          <w:sz w:val="21"/>
        </w:rPr>
        <w:t xml:space="preserve">30  </w:t>
      </w:r>
      <w:hyperlink r:id="rId21">
        <w:r>
          <w:rPr>
            <w:color w:val="1F4E79"/>
            <w:sz w:val="21"/>
            <w:u w:val="single"/>
            <w:b/>
          </w:rPr>
          <w:t>Milton Dick Elected President of the IPU</w:t>
        </w:r>
      </w:hyperlink>
      <w:bookmarkEnd w:id="130"/>
    </w:p>
    <w:p>
      <w:pPr>
        <w:keepLines/>
        <w:spacing w:after="80" w:line="257" w:lineRule="auto"/>
      </w:pPr>
      <w:r>
        <w:rPr>
          <w:sz w:val="20"/>
        </w:rPr>
        <w:t>Inter-Parliamentary Union. 9 October 2026. Official announcement. Accessed 16 October 2026.</w:t>
      </w:r>
    </w:p>
    <w:p>
      <w:pPr>
        <w:keepNext/>
        <w:spacing w:before="80" w:after="60"/>
      </w:pPr>
      <w:bookmarkStart w:id="131" w:name="source31"/>
      <w:r>
        <w:rPr>
          <w:b/>
          <w:sz w:val="21"/>
        </w:rPr>
        <w:t xml:space="preserve">31  </w:t>
      </w:r>
      <w:hyperlink r:id="rId22">
        <w:r>
          <w:rPr>
            <w:color w:val="1F4E79"/>
            <w:sz w:val="21"/>
            <w:u w:val="single"/>
            <w:b/>
          </w:rPr>
          <w:t>Kevin Rudd: About</w:t>
        </w:r>
      </w:hyperlink>
      <w:bookmarkEnd w:id="131"/>
    </w:p>
    <w:p>
      <w:pPr>
        <w:keepLines/>
        <w:spacing w:after="80" w:line="257" w:lineRule="auto"/>
      </w:pPr>
      <w:r>
        <w:rPr>
          <w:sz w:val="20"/>
        </w:rPr>
        <w:t>Kevin Rudd. Date not stated. Biography. Accessed 16 October 2026. Current Asia Society role and return in March 2026.</w:t>
      </w:r>
    </w:p>
    <w:p>
      <w:pPr>
        <w:keepNext/>
        <w:spacing w:before="80" w:after="60"/>
      </w:pPr>
      <w:bookmarkStart w:id="132" w:name="source32"/>
      <w:r>
        <w:rPr>
          <w:b/>
          <w:sz w:val="21"/>
        </w:rPr>
        <w:t xml:space="preserve">32  </w:t>
      </w:r>
      <w:hyperlink r:id="rId23">
        <w:r>
          <w:rPr>
            <w:color w:val="1F4E79"/>
            <w:sz w:val="21"/>
            <w:u w:val="single"/>
            <w:b/>
          </w:rPr>
          <w:t>Australian Statement to the UN Security Council Open Debate on the Rule of Law</w:t>
        </w:r>
      </w:hyperlink>
      <w:bookmarkEnd w:id="132"/>
    </w:p>
    <w:p>
      <w:pPr>
        <w:keepLines/>
        <w:spacing w:after="80" w:line="257" w:lineRule="auto"/>
      </w:pPr>
      <w:r>
        <w:rPr>
          <w:sz w:val="20"/>
        </w:rPr>
        <w:t>James Larsen, Australian Mission to the United Nations. 26 January 2026. Statement by James Larsen. Accessed 16 October 2026.</w:t>
      </w:r>
    </w:p>
    <w:p>
      <w:pPr>
        <w:keepNext/>
        <w:spacing w:before="80" w:after="60"/>
      </w:pPr>
      <w:bookmarkStart w:id="135" w:name="source35"/>
      <w:r>
        <w:rPr>
          <w:b/>
          <w:sz w:val="21"/>
        </w:rPr>
        <w:t xml:space="preserve">35  </w:t>
      </w:r>
      <w:hyperlink r:id="rId79">
        <w:r>
          <w:rPr>
            <w:color w:val="1F4E79"/>
            <w:sz w:val="21"/>
            <w:u w:val="single"/>
            <w:b/>
          </w:rPr>
          <w:t>Public Posts on GAJRA Earth, AI Policy and Anthony Albanese</w:t>
        </w:r>
      </w:hyperlink>
      <w:bookmarkEnd w:id="135"/>
    </w:p>
    <w:p>
      <w:pPr>
        <w:keepLines/>
        <w:spacing w:after="80" w:line="257" w:lineRule="auto"/>
      </w:pPr>
      <w:r>
        <w:rPr>
          <w:sz w:val="20"/>
        </w:rPr>
        <w:t>Luke Nathan Hayes, @Choose_Infinity. Date not stated. Selected author-supplied post records. Original X post links are listed individually. The source record is the set of extracts supplied by Hayes on 16 October 2026.</w:t>
      </w:r>
    </w:p>
    <w:p>
      <w:pPr>
        <w:spacing w:after="60" w:line="245" w:lineRule="auto"/>
      </w:pPr>
      <w:hyperlink r:id="rId26">
        <w:r>
          <w:rPr>
            <w:color w:val="1F4E79"/>
            <w:sz w:val="20"/>
            <w:u w:val="single"/>
          </w:rPr>
          <w:t>5 March 2025: GAJRA Earth invitation</w:t>
        </w:r>
      </w:hyperlink>
    </w:p>
    <w:p>
      <w:pPr>
        <w:spacing w:after="60" w:line="245" w:lineRule="auto"/>
      </w:pPr>
      <w:hyperlink r:id="rId27">
        <w:r>
          <w:rPr>
            <w:color w:val="1F4E79"/>
            <w:sz w:val="20"/>
            <w:u w:val="single"/>
          </w:rPr>
          <w:t>23 September 2026: UNGA81 invitation</w:t>
        </w:r>
      </w:hyperlink>
    </w:p>
    <w:p>
      <w:pPr>
        <w:spacing w:after="60" w:line="245" w:lineRule="auto"/>
      </w:pPr>
      <w:hyperlink r:id="rId28">
        <w:r>
          <w:rPr>
            <w:color w:val="1F4E79"/>
            <w:sz w:val="20"/>
            <w:u w:val="single"/>
          </w:rPr>
          <w:t>24 September 2026: AI dominance</w:t>
        </w:r>
      </w:hyperlink>
    </w:p>
    <w:p>
      <w:pPr>
        <w:spacing w:after="60" w:line="245" w:lineRule="auto"/>
      </w:pPr>
      <w:hyperlink r:id="rId29">
        <w:r>
          <w:rPr>
            <w:color w:val="1F4E79"/>
            <w:sz w:val="20"/>
            <w:u w:val="single"/>
          </w:rPr>
          <w:t>25 September 2026: response and founding invitation</w:t>
        </w:r>
      </w:hyperlink>
    </w:p>
    <w:p>
      <w:pPr>
        <w:spacing w:after="60" w:line="245" w:lineRule="auto"/>
      </w:pPr>
      <w:hyperlink r:id="rId30">
        <w:r>
          <w:rPr>
            <w:color w:val="1F4E79"/>
            <w:sz w:val="20"/>
            <w:u w:val="single"/>
          </w:rPr>
          <w:t>25 September 2026: team, funding and location</w:t>
        </w:r>
      </w:hyperlink>
    </w:p>
    <w:p>
      <w:pPr>
        <w:keepNext/>
        <w:spacing w:before="80" w:after="60"/>
      </w:pPr>
      <w:bookmarkStart w:id="138" w:name="source38"/>
      <w:r>
        <w:rPr>
          <w:b/>
          <w:sz w:val="21"/>
        </w:rPr>
        <w:t xml:space="preserve">38  </w:t>
      </w:r>
      <w:r>
        <w:rPr>
          <w:b/>
          <w:sz w:val="21"/>
        </w:rPr>
        <w:t>Author Correspondence and Project Status Clarifications</w:t>
      </w:r>
      <w:bookmarkEnd w:id="138"/>
    </w:p>
    <w:p>
      <w:pPr>
        <w:keepLines/>
        <w:spacing w:after="80" w:line="257" w:lineRule="auto"/>
      </w:pPr>
      <w:r>
        <w:rPr>
          <w:sz w:val="20"/>
        </w:rPr>
        <w:t>Luke Nathan Hayes. 16 October 2026. Unpublished correspondence. Luke Nathan Hayes supplied the project-status and naming clarifications used in the essay. This is correspondence, rather than a separately titled report.</w:t>
      </w:r>
    </w:p>
    <w:p>
      <w:pPr>
        <w:keepNext/>
        <w:spacing w:before="80" w:after="60"/>
      </w:pPr>
      <w:bookmarkStart w:id="139" w:name="source39"/>
      <w:r>
        <w:rPr>
          <w:b/>
          <w:sz w:val="21"/>
        </w:rPr>
        <w:t xml:space="preserve">39  </w:t>
      </w:r>
      <w:hyperlink r:id="rId35">
        <w:r>
          <w:rPr>
            <w:color w:val="1F4E79"/>
            <w:sz w:val="21"/>
            <w:u w:val="single"/>
            <w:b/>
          </w:rPr>
          <w:t>Generative AI and Jobs: A Refined Global Index of Occupational Exposure</w:t>
        </w:r>
      </w:hyperlink>
      <w:bookmarkEnd w:id="139"/>
    </w:p>
    <w:p>
      <w:pPr>
        <w:keepLines/>
        <w:spacing w:after="80" w:line="257" w:lineRule="auto"/>
      </w:pPr>
      <w:r>
        <w:rPr>
          <w:sz w:val="20"/>
        </w:rPr>
        <w:t>International Labour Organization. 20 May 2025. Working Paper 140. Accessed 16 October 2026.</w:t>
      </w:r>
    </w:p>
    <w:p>
      <w:pPr>
        <w:keepNext/>
        <w:spacing w:before="80" w:after="60"/>
      </w:pPr>
      <w:bookmarkStart w:id="140" w:name="source40"/>
      <w:r>
        <w:rPr>
          <w:b/>
          <w:sz w:val="21"/>
        </w:rPr>
        <w:t xml:space="preserve">40  </w:t>
      </w:r>
      <w:hyperlink r:id="rId36">
        <w:r>
          <w:rPr>
            <w:color w:val="1F4E79"/>
            <w:sz w:val="21"/>
            <w:u w:val="single"/>
            <w:b/>
          </w:rPr>
          <w:t>State of World Population 2025</w:t>
        </w:r>
      </w:hyperlink>
      <w:bookmarkEnd w:id="140"/>
    </w:p>
    <w:p>
      <w:pPr>
        <w:keepLines/>
        <w:spacing w:after="80" w:line="257" w:lineRule="auto"/>
      </w:pPr>
      <w:r>
        <w:rPr>
          <w:sz w:val="20"/>
        </w:rPr>
        <w:t>United Nations Population Fund. 2025. Accessed 16 October 2026. Reproductive agency and findings from a fourteen-country survey.</w:t>
      </w:r>
    </w:p>
    <w:p>
      <w:pPr>
        <w:keepNext/>
        <w:spacing w:before="80" w:after="60"/>
      </w:pPr>
      <w:bookmarkStart w:id="141" w:name="source41"/>
      <w:r>
        <w:rPr>
          <w:b/>
          <w:sz w:val="21"/>
        </w:rPr>
        <w:t xml:space="preserve">41  </w:t>
      </w:r>
      <w:hyperlink r:id="rId37">
        <w:r>
          <w:rPr>
            <w:color w:val="1F4E79"/>
            <w:sz w:val="21"/>
            <w:u w:val="single"/>
            <w:b/>
          </w:rPr>
          <w:t>Key Questions on Energy and AI: Executive Summary</w:t>
        </w:r>
      </w:hyperlink>
      <w:bookmarkEnd w:id="141"/>
    </w:p>
    <w:p>
      <w:pPr>
        <w:keepLines/>
        <w:spacing w:after="80" w:line="257" w:lineRule="auto"/>
      </w:pPr>
      <w:r>
        <w:rPr>
          <w:sz w:val="20"/>
        </w:rPr>
        <w:t>International Energy Agency. 2026. Accessed 16 October 2026.</w:t>
      </w:r>
    </w:p>
    <w:p>
      <w:pPr>
        <w:keepNext/>
        <w:spacing w:before="80" w:after="60"/>
      </w:pPr>
      <w:bookmarkStart w:id="142" w:name="source42"/>
      <w:r>
        <w:rPr>
          <w:b/>
          <w:sz w:val="21"/>
        </w:rPr>
        <w:t xml:space="preserve">42  </w:t>
      </w:r>
      <w:hyperlink r:id="rId38">
        <w:r>
          <w:rPr>
            <w:color w:val="1F4E79"/>
            <w:sz w:val="21"/>
            <w:u w:val="single"/>
            <w:b/>
          </w:rPr>
          <w:t>Energy and AI</w:t>
        </w:r>
      </w:hyperlink>
      <w:bookmarkEnd w:id="142"/>
    </w:p>
    <w:p>
      <w:pPr>
        <w:keepLines/>
        <w:spacing w:after="80" w:line="257" w:lineRule="auto"/>
      </w:pPr>
      <w:r>
        <w:rPr>
          <w:sz w:val="20"/>
        </w:rPr>
        <w:t>International Energy Agency. 2025. Accessed 16 October 2026. Heat recovery and local use: printed pages 247 to 248.</w:t>
      </w:r>
    </w:p>
    <w:p>
      <w:pPr>
        <w:keepNext/>
        <w:spacing w:before="80" w:after="60"/>
      </w:pPr>
      <w:bookmarkStart w:id="143" w:name="source43"/>
      <w:r>
        <w:rPr>
          <w:b/>
          <w:sz w:val="21"/>
        </w:rPr>
        <w:t xml:space="preserve">43  </w:t>
      </w:r>
      <w:hyperlink r:id="rId39">
        <w:r>
          <w:rPr>
            <w:color w:val="1F4E79"/>
            <w:sz w:val="21"/>
            <w:u w:val="single"/>
            <w:b/>
          </w:rPr>
          <w:t>Reinforcement Learning</w:t>
        </w:r>
      </w:hyperlink>
      <w:bookmarkEnd w:id="143"/>
    </w:p>
    <w:p>
      <w:pPr>
        <w:keepLines/>
        <w:spacing w:after="80" w:line="257" w:lineRule="auto"/>
      </w:pPr>
      <w:r>
        <w:rPr>
          <w:sz w:val="20"/>
        </w:rPr>
        <w:t>National Institute of Standards and Technology. Date not stated. Glossary definition. Accessed 16 October 2026. Definition cites NIST AI 100-2e2025.</w:t>
      </w:r>
    </w:p>
    <w:p>
      <w:pPr>
        <w:keepNext/>
        <w:spacing w:before="80" w:after="60"/>
      </w:pPr>
      <w:bookmarkStart w:id="144" w:name="source44"/>
      <w:r>
        <w:rPr>
          <w:b/>
          <w:sz w:val="21"/>
        </w:rPr>
        <w:t xml:space="preserve">44  </w:t>
      </w:r>
      <w:hyperlink r:id="rId42">
        <w:r>
          <w:rPr>
            <w:color w:val="1F4E79"/>
            <w:sz w:val="21"/>
            <w:u w:val="single"/>
            <w:b/>
          </w:rPr>
          <w:t>Life of Theseus</w:t>
        </w:r>
      </w:hyperlink>
      <w:bookmarkEnd w:id="144"/>
    </w:p>
    <w:p>
      <w:pPr>
        <w:keepLines/>
        <w:spacing w:after="80" w:line="257" w:lineRule="auto"/>
      </w:pPr>
      <w:r>
        <w:rPr>
          <w:sz w:val="20"/>
        </w:rPr>
        <w:t>Plutarch. Date not stated. John Dryden translation. Accessed 16 October 2026. Sections 17 and 19 recount the voyage and rescue; section 23 describes the preserved ship and replacement timbers.</w:t>
      </w:r>
    </w:p>
    <w:p>
      <w:pPr>
        <w:pStyle w:val="Heading2"/>
      </w:pPr>
      <w:r>
        <w:t>Connected reading</w:t>
      </w:r>
    </w:p>
    <w:p>
      <w:r>
        <w:rPr>
          <w:sz w:val="20"/>
        </w:rPr>
        <w:t>These sources provide related background. Their numbers are retained as stable reference identifiers.</w:t>
      </w:r>
    </w:p>
    <w:p>
      <w:pPr>
        <w:keepNext/>
        <w:spacing w:before="80" w:after="60"/>
      </w:pPr>
      <w:bookmarkStart w:id="115" w:name="source15"/>
      <w:r>
        <w:rPr>
          <w:b/>
          <w:sz w:val="21"/>
        </w:rPr>
        <w:t xml:space="preserve">15  </w:t>
      </w:r>
      <w:hyperlink r:id="rId80">
        <w:r>
          <w:rPr>
            <w:color w:val="1F4E79"/>
            <w:sz w:val="21"/>
            <w:u w:val="single"/>
            <w:b/>
          </w:rPr>
          <w:t>Local Government: Submission 2 to the Local Government Funding and Fiscal Sustainability Inquiry</w:t>
        </w:r>
      </w:hyperlink>
      <w:bookmarkEnd w:id="115"/>
    </w:p>
    <w:p>
      <w:pPr>
        <w:keepLines/>
        <w:spacing w:after="80" w:line="257" w:lineRule="auto"/>
      </w:pPr>
      <w:r>
        <w:rPr>
          <w:sz w:val="20"/>
        </w:rPr>
        <w:t>Luke Nathan Hayes. Date not stated. PDF. Cover title: Local Government. The longer catalogue title identifies the inquiry submission.</w:t>
      </w:r>
    </w:p>
    <w:p>
      <w:pPr>
        <w:keepNext/>
        <w:spacing w:before="80" w:after="60"/>
      </w:pPr>
      <w:bookmarkStart w:id="117" w:name="source17"/>
      <w:r>
        <w:rPr>
          <w:b/>
          <w:sz w:val="21"/>
        </w:rPr>
        <w:t xml:space="preserve">17  </w:t>
      </w:r>
      <w:hyperlink r:id="rId81">
        <w:r>
          <w:rPr>
            <w:color w:val="1F4E79"/>
            <w:sz w:val="21"/>
            <w:u w:val="single"/>
            <w:b/>
          </w:rPr>
          <w:t>Project Aura Geode HBOT: A Strategic Framework for the Cooperative Rollout of a Decentralized Health and Longevity Ecosystem</w:t>
        </w:r>
      </w:hyperlink>
      <w:bookmarkEnd w:id="117"/>
    </w:p>
    <w:p>
      <w:pPr>
        <w:keepLines/>
        <w:spacing w:after="80" w:line="257" w:lineRule="auto"/>
      </w:pPr>
      <w:r>
        <w:rPr>
          <w:sz w:val="20"/>
        </w:rPr>
        <w:t>Luke Nathan Hayes. Date not stated. PDF. Subtitle: Integrating Hyperbaric Wellness, Digital Twins, and Regenerative Economics for Global Abundance. Historical terminology is retained in this source.</w:t>
      </w:r>
    </w:p>
    <w:p>
      <w:pPr>
        <w:keepNext/>
        <w:spacing w:before="80" w:after="60"/>
      </w:pPr>
      <w:bookmarkStart w:id="118" w:name="source18"/>
      <w:r>
        <w:rPr>
          <w:b/>
          <w:sz w:val="21"/>
        </w:rPr>
        <w:t xml:space="preserve">18  </w:t>
      </w:r>
      <w:hyperlink r:id="rId82">
        <w:r>
          <w:rPr>
            <w:color w:val="1F4E79"/>
            <w:sz w:val="21"/>
            <w:u w:val="single"/>
            <w:b/>
          </w:rPr>
          <w:t>Strategic Plan for a Decentralized Global Sensorium: Collaborative Modeling of Known and Fringe Science via Web3 and Digital Twin Simulation</w:t>
        </w:r>
      </w:hyperlink>
      <w:bookmarkEnd w:id="118"/>
    </w:p>
    <w:p>
      <w:pPr>
        <w:keepLines/>
        <w:spacing w:after="80" w:line="257" w:lineRule="auto"/>
      </w:pPr>
      <w:r>
        <w:rPr>
          <w:sz w:val="20"/>
        </w:rPr>
        <w:t>Luke Nathan Hayes. Date not stated. PDF. Exact source-title spelling retained.</w:t>
      </w:r>
    </w:p>
    <w:p>
      <w:pPr>
        <w:keepNext/>
        <w:spacing w:before="80" w:after="60"/>
      </w:pPr>
      <w:bookmarkStart w:id="133" w:name="source33"/>
      <w:r>
        <w:rPr>
          <w:b/>
          <w:sz w:val="21"/>
        </w:rPr>
        <w:t xml:space="preserve">33  </w:t>
      </w:r>
      <w:hyperlink r:id="rId24">
        <w:r>
          <w:rPr>
            <w:color w:val="1F4E79"/>
            <w:sz w:val="21"/>
            <w:u w:val="single"/>
            <w:b/>
          </w:rPr>
          <w:t>Local Government Election Candidates</w:t>
        </w:r>
      </w:hyperlink>
      <w:bookmarkEnd w:id="133"/>
    </w:p>
    <w:p>
      <w:pPr>
        <w:keepLines/>
        <w:spacing w:after="80" w:line="257" w:lineRule="auto"/>
      </w:pPr>
      <w:r>
        <w:rPr>
          <w:sz w:val="20"/>
        </w:rPr>
        <w:t>Electoral Commission of Queensland. Date not stated. Official candidate guidance. Accessed 16 October 2026.</w:t>
      </w:r>
    </w:p>
    <w:p>
      <w:pPr>
        <w:keepNext/>
        <w:spacing w:before="80" w:after="60"/>
      </w:pPr>
      <w:bookmarkStart w:id="134" w:name="source34"/>
      <w:r>
        <w:rPr>
          <w:b/>
          <w:sz w:val="21"/>
        </w:rPr>
        <w:t xml:space="preserve">34  </w:t>
      </w:r>
      <w:hyperlink r:id="rId25">
        <w:r>
          <w:rPr>
            <w:color w:val="1F4E79"/>
            <w:sz w:val="21"/>
            <w:u w:val="single"/>
            <w:b/>
          </w:rPr>
          <w:t>Using a Dedicated Campaign Bank Account</w:t>
        </w:r>
      </w:hyperlink>
      <w:bookmarkEnd w:id="134"/>
    </w:p>
    <w:p>
      <w:pPr>
        <w:keepLines/>
        <w:spacing w:after="80" w:line="257" w:lineRule="auto"/>
      </w:pPr>
      <w:r>
        <w:rPr>
          <w:sz w:val="20"/>
        </w:rPr>
        <w:t>Electoral Commission of Queensland. Date not stated. Official local-candidate finance guidance. Accessed 16 October 2026.</w:t>
      </w:r>
    </w:p>
    <w:p>
      <w:pPr>
        <w:keepNext/>
        <w:spacing w:before="80" w:after="60"/>
      </w:pPr>
      <w:bookmarkStart w:id="136" w:name="source36"/>
      <w:r>
        <w:rPr>
          <w:b/>
          <w:sz w:val="21"/>
        </w:rPr>
        <w:t xml:space="preserve">36  </w:t>
      </w:r>
      <w:hyperlink r:id="rId83">
        <w:r>
          <w:rPr>
            <w:color w:val="1F4E79"/>
            <w:sz w:val="21"/>
            <w:u w:val="single"/>
            <w:b/>
          </w:rPr>
          <w:t>Public Posts Directed at Kevin Rudd</w:t>
        </w:r>
      </w:hyperlink>
      <w:bookmarkEnd w:id="136"/>
    </w:p>
    <w:p>
      <w:pPr>
        <w:keepLines/>
        <w:spacing w:after="80" w:line="257" w:lineRule="auto"/>
      </w:pPr>
      <w:r>
        <w:rPr>
          <w:sz w:val="20"/>
        </w:rPr>
        <w:t>Luke Nathan Hayes, @Choose_Infinity. Date not stated. Selected author-supplied post records. Original X post links are listed individually. Explicit replies are distinguished from conversation-associated search results in the supplied account.</w:t>
      </w:r>
    </w:p>
    <w:p>
      <w:pPr>
        <w:spacing w:after="60" w:line="245" w:lineRule="auto"/>
      </w:pPr>
      <w:hyperlink r:id="rId31">
        <w:r>
          <w:rPr>
            <w:color w:val="1F4E79"/>
            <w:sz w:val="20"/>
            <w:u w:val="single"/>
          </w:rPr>
          <w:t>6 September 2011: community resilience</w:t>
        </w:r>
      </w:hyperlink>
    </w:p>
    <w:p>
      <w:pPr>
        <w:spacing w:after="60" w:line="245" w:lineRule="auto"/>
      </w:pPr>
      <w:hyperlink r:id="rId33">
        <w:r>
          <w:rPr>
            <w:color w:val="1F4E79"/>
            <w:sz w:val="20"/>
            <w:u w:val="single"/>
          </w:rPr>
          <w:t>23 February 2012: wider invitation</w:t>
        </w:r>
      </w:hyperlink>
    </w:p>
    <w:p>
      <w:pPr>
        <w:spacing w:after="60" w:line="245" w:lineRule="auto"/>
      </w:pPr>
      <w:hyperlink r:id="rId34">
        <w:r>
          <w:rPr>
            <w:color w:val="1F4E79"/>
            <w:sz w:val="20"/>
            <w:u w:val="single"/>
          </w:rPr>
          <w:t>24 February 2012: democratic participation</w:t>
        </w:r>
      </w:hyperlink>
    </w:p>
    <w:p>
      <w:pPr>
        <w:keepNext/>
        <w:spacing w:before="80" w:after="60"/>
      </w:pPr>
      <w:bookmarkStart w:id="137" w:name="source37"/>
      <w:r>
        <w:rPr>
          <w:b/>
          <w:sz w:val="21"/>
        </w:rPr>
        <w:t xml:space="preserve">37  </w:t>
      </w:r>
      <w:hyperlink r:id="rId84">
        <w:r>
          <w:rPr>
            <w:color w:val="1F4E79"/>
            <w:sz w:val="21"/>
            <w:u w:val="single"/>
            <w:b/>
          </w:rPr>
          <w:t>Queensland's Heart-First AI Surge Plan: A Strategic Roadmap for Sovereign Transition and Regenerative Governance 2026 to 2032</w:t>
        </w:r>
      </w:hyperlink>
      <w:bookmarkEnd w:id="137"/>
    </w:p>
    <w:p>
      <w:pPr>
        <w:keepLines/>
        <w:spacing w:after="80" w:line="257" w:lineRule="auto"/>
      </w:pPr>
      <w:r>
        <w:rPr>
          <w:sz w:val="20"/>
        </w:rPr>
        <w:t>Luke Nathan Hayes. Date not stated. PDF. Historical planning source. Later C-Hour and Genesis sources govern the essay's current definitions.</w:t>
      </w:r>
    </w:p>
    <w:p>
      <w:pPr>
        <w:pStyle w:val="Heading2"/>
      </w:pPr>
      <w:r>
        <w:t>Document history</w:t>
      </w:r>
    </w:p>
    <w:p>
      <w:pPr>
        <w:spacing w:after="100"/>
      </w:pPr>
      <w:r>
        <w:rPr>
          <w:b/>
          <w:sz w:val="20"/>
        </w:rPr>
        <w:t xml:space="preserve">Version 1.0 | 16 October 2026. </w:t>
      </w:r>
      <w:r>
        <w:rPr>
          <w:sz w:val="20"/>
        </w:rPr>
        <w:t>Initial analysis of public discovery, scrutiny and Joyful Responsible Abundance.</w:t>
      </w:r>
    </w:p>
    <w:p>
      <w:pPr>
        <w:spacing w:after="100"/>
      </w:pPr>
      <w:r>
        <w:rPr>
          <w:b/>
          <w:sz w:val="20"/>
        </w:rPr>
        <w:t xml:space="preserve">Version 2.0 | 16 October 2026. </w:t>
      </w:r>
      <w:r>
        <w:rPr>
          <w:sz w:val="20"/>
        </w:rPr>
        <w:t>Expanded essay connecting Redlands, personal intelligence and international cooperation.</w:t>
      </w:r>
    </w:p>
    <w:p>
      <w:pPr>
        <w:spacing w:after="100"/>
      </w:pPr>
      <w:r>
        <w:rPr>
          <w:b/>
          <w:sz w:val="20"/>
        </w:rPr>
        <w:t xml:space="preserve">Version 3.0 | 16 October 2026. </w:t>
      </w:r>
      <w:r>
        <w:rPr>
          <w:sz w:val="20"/>
        </w:rPr>
        <w:t>Expanded the identity and continuity discussion; clarified GAJRA Earth's proposed name and founder.</w:t>
      </w:r>
    </w:p>
    <w:p>
      <w:pPr>
        <w:spacing w:after="100"/>
      </w:pPr>
      <w:r>
        <w:rPr>
          <w:b/>
          <w:sz w:val="20"/>
        </w:rPr>
        <w:t xml:space="preserve">Version 4.0 | 16 October 2026. </w:t>
      </w:r>
      <w:r>
        <w:rPr>
          <w:sz w:val="20"/>
        </w:rPr>
        <w:t>Reference edition with a distinct title, consistent version numbers, full source titles, descriptive links, supplied source files and a portable reference register.</w:t>
      </w:r>
    </w:p>
    <w:sectPr w:rsidR="00FC693F" w:rsidRPr="0006063C" w:rsidSect="00034616">
      <w:headerReference w:type="default" r:id="rId40"/>
      <w:footerReference w:type="default" r:id="rId41"/>
      <w:pgSz w:w="12240" w:h="15840"/>
      <w:pgMar w:top="1123" w:right="1339" w:bottom="1109" w:left="1339" w:header="432" w:footer="461"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r>
        <w:rPr>
          <w:sz w:val="18"/>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5A5A"/>
        <w:sz w:val="16"/>
      </w:rPr>
      <w:t>When Redlands discovers Luke Hayes | Version 4.0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1" w:lineRule="auto" w:after="160"/>
    </w:pPr>
    <w:rPr>
      <w:rFonts w:ascii="Calibri" w:hAnsi="Calibri"/>
      <w:color w:val="000000"/>
      <w:sz w:val="23"/>
      <w:lang w:val="en-AU"/>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60" w:after="220"/>
      <w:outlineLvl w:val="0"/>
    </w:pPr>
    <w:rPr>
      <w:rFonts w:asciiTheme="majorHAnsi" w:eastAsiaTheme="majorEastAsia" w:hAnsiTheme="majorHAnsi" w:cstheme="majorBidi" w:ascii="Calibri" w:hAnsi="Calibri"/>
      <w:b/>
      <w:bCs/>
      <w:color w:val="000000"/>
      <w:sz w:val="42"/>
      <w:szCs w:val="28"/>
      <w:lang w:val="en-AU"/>
    </w:rPr>
  </w:style>
  <w:style w:type="paragraph" w:styleId="Heading2">
    <w:name w:val="heading 2"/>
    <w:basedOn w:val="Normal"/>
    <w:next w:val="Normal"/>
    <w:link w:val="Heading2Char"/>
    <w:uiPriority w:val="9"/>
    <w:unhideWhenUsed/>
    <w:qFormat/>
    <w:rsid w:val="00FC693F"/>
    <w:pPr>
      <w:keepNext/>
      <w:keepLines/>
      <w:spacing w:before="340" w:after="160"/>
      <w:outlineLvl w:val="1"/>
    </w:pPr>
    <w:rPr>
      <w:rFonts w:asciiTheme="majorHAnsi" w:eastAsiaTheme="majorEastAsia" w:hAnsiTheme="majorHAnsi" w:cstheme="majorBidi" w:ascii="Calibri" w:hAnsi="Calibri"/>
      <w:b/>
      <w:bCs/>
      <w:color w:val="000000"/>
      <w:sz w:val="28"/>
      <w:szCs w:val="26"/>
      <w:lang w:val="en-AU"/>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lang w:val="en-AU"/>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Calibri" w:hAnsi="Calibri"/>
      <w:b/>
      <w:color w:val="000000"/>
      <w:spacing w:val="5"/>
      <w:kern w:val="28"/>
      <w:sz w:val="58"/>
      <w:szCs w:val="52"/>
      <w:lang w:val="en-AU"/>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pPr>
    <w:rPr>
      <w:rFonts w:asciiTheme="majorHAnsi" w:eastAsiaTheme="majorEastAsia" w:hAnsiTheme="majorHAnsi" w:cstheme="majorBidi" w:ascii="Calibri" w:hAnsi="Calibri"/>
      <w:i w:val="0"/>
      <w:iCs/>
      <w:color w:val="000000"/>
      <w:spacing w:val="15"/>
      <w:sz w:val="30"/>
      <w:szCs w:val="24"/>
      <w:lang w:val="en-AU"/>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uraofintelligence.github.io/luke-nathan-hayes-man-and-mind/sitemap.html" TargetMode="External"/><Relationship Id="rId10" Type="http://schemas.openxmlformats.org/officeDocument/2006/relationships/hyperlink" Target="https://auraofintelligence.github.io/australian-law-2012-lukes-relevance/index.html" TargetMode="External"/><Relationship Id="rId11" Type="http://schemas.openxmlformats.org/officeDocument/2006/relationships/hyperlink" Target="https://auraofintelligence.github.io/project-atlas/projects.html" TargetMode="External"/><Relationship Id="rId12" Type="http://schemas.openxmlformats.org/officeDocument/2006/relationships/hyperlink" Target="https://auraofintelligence.github.io/strange-but-true/index.html" TargetMode="External"/><Relationship Id="rId13" Type="http://schemas.openxmlformats.org/officeDocument/2006/relationships/hyperlink" Target="https://p4a.xyz/" TargetMode="External"/><Relationship Id="rId14" Type="http://schemas.openxmlformats.org/officeDocument/2006/relationships/hyperlink" Target="https://auraofintelligence.github.io/aura-genesis-geode-atlas/" TargetMode="External"/><Relationship Id="rId15" Type="http://schemas.openxmlformats.org/officeDocument/2006/relationships/hyperlink" Target="https://auraofintelligence.github.io/UNGA81-Luke-Hayes/index.html" TargetMode="External"/><Relationship Id="rId16" Type="http://schemas.openxmlformats.org/officeDocument/2006/relationships/hyperlink" Target="https://www.pm.gov.au/media/australias-national-statement-united-states-new-york" TargetMode="External"/><Relationship Id="rId17" Type="http://schemas.openxmlformats.org/officeDocument/2006/relationships/hyperlink" Target="https://www.govinfo.gov/content/pkg/DCPD-202500170/html/DCPD-202500170.htm" TargetMode="External"/><Relationship Id="rId18" Type="http://schemas.openxmlformats.org/officeDocument/2006/relationships/hyperlink" Target="https://www.whitehouse.gov/wp-content/uploads/2025/07/Americas-AI-Action-Plan.pdf" TargetMode="External"/><Relationship Id="rId19" Type="http://schemas.openxmlformats.org/officeDocument/2006/relationships/hyperlink" Target="https://english.www.gov.cn/policies/latestreleases/202508/27/content_WS68ae7976c6d0868f4e8f51a0.html" TargetMode="External"/><Relationship Id="rId20" Type="http://schemas.openxmlformats.org/officeDocument/2006/relationships/hyperlink" Target="https://www.fmprc.gov.cn/eng/xw/zyjh/202509/t20250924_11715960.html" TargetMode="External"/><Relationship Id="rId21" Type="http://schemas.openxmlformats.org/officeDocument/2006/relationships/hyperlink" Target="https://www.ipu.org/news/press-releases/2026-10/milton-dick-elected-president-ipu" TargetMode="External"/><Relationship Id="rId22" Type="http://schemas.openxmlformats.org/officeDocument/2006/relationships/hyperlink" Target="https://kevinrudd.com/about" TargetMode="External"/><Relationship Id="rId23" Type="http://schemas.openxmlformats.org/officeDocument/2006/relationships/hyperlink" Target="https://unny.mission.gov.au/unny/260126_UNSC_Open_Debate.html" TargetMode="External"/><Relationship Id="rId24" Type="http://schemas.openxmlformats.org/officeDocument/2006/relationships/hyperlink" Target="https://www.ecq.qld.gov.au/election-participants/local-election-participants/candidates" TargetMode="External"/><Relationship Id="rId25" Type="http://schemas.openxmlformats.org/officeDocument/2006/relationships/hyperlink" Target="https://www.ecq.qld.gov.au/election-participants/local-election-participants/candidates/using-a-dedicated-campaign-bank-account" TargetMode="External"/><Relationship Id="rId26" Type="http://schemas.openxmlformats.org/officeDocument/2006/relationships/hyperlink" Target="https://x.com/Choose_Infinity/status/1897229407494004883" TargetMode="External"/><Relationship Id="rId27" Type="http://schemas.openxmlformats.org/officeDocument/2006/relationships/hyperlink" Target="https://x.com/Choose_Infinity/status/2102594233945518243" TargetMode="External"/><Relationship Id="rId28" Type="http://schemas.openxmlformats.org/officeDocument/2006/relationships/hyperlink" Target="https://x.com/Choose_Infinity/status/2102960547390230926" TargetMode="External"/><Relationship Id="rId29" Type="http://schemas.openxmlformats.org/officeDocument/2006/relationships/hyperlink" Target="https://x.com/Choose_Infinity/status/2103319848172540332" TargetMode="External"/><Relationship Id="rId30" Type="http://schemas.openxmlformats.org/officeDocument/2006/relationships/hyperlink" Target="https://x.com/Choose_Infinity/status/2103320681018790230" TargetMode="External"/><Relationship Id="rId31" Type="http://schemas.openxmlformats.org/officeDocument/2006/relationships/hyperlink" Target="https://x.com/Choose_Infinity/status/111073601658163201" TargetMode="External"/><Relationship Id="rId32" Type="http://schemas.openxmlformats.org/officeDocument/2006/relationships/hyperlink" Target="https://x.com/Choose_Infinity/status/172304345524744193" TargetMode="External"/><Relationship Id="rId33" Type="http://schemas.openxmlformats.org/officeDocument/2006/relationships/hyperlink" Target="https://x.com/Choose_Infinity/status/172659428078796800" TargetMode="External"/><Relationship Id="rId34" Type="http://schemas.openxmlformats.org/officeDocument/2006/relationships/hyperlink" Target="https://x.com/Choose_Infinity/status/172863454900781057" TargetMode="External"/><Relationship Id="rId35" Type="http://schemas.openxmlformats.org/officeDocument/2006/relationships/hyperlink" Target="https://www.ilo.org/publications/generative-ai-and-jobs-refined-global-index-occupational-exposure" TargetMode="External"/><Relationship Id="rId36" Type="http://schemas.openxmlformats.org/officeDocument/2006/relationships/hyperlink" Target="https://www.unfpa.org/swp2025" TargetMode="External"/><Relationship Id="rId37" Type="http://schemas.openxmlformats.org/officeDocument/2006/relationships/hyperlink" Target="https://www.iea.org/reports/key-questions-on-energy-and-ai/executive-summary" TargetMode="External"/><Relationship Id="rId38" Type="http://schemas.openxmlformats.org/officeDocument/2006/relationships/hyperlink" Target="https://iea.blob.core.windows.net/assets/de9dea13-b07d-42c5-a398-d1b3ae17d866/EnergyandAI.pdf" TargetMode="External"/><Relationship Id="rId39" Type="http://schemas.openxmlformats.org/officeDocument/2006/relationships/hyperlink" Target="https://csrc.nist.gov/glossary/term/reinforcement_learning" TargetMode="External"/><Relationship Id="rId40" Type="http://schemas.openxmlformats.org/officeDocument/2006/relationships/header" Target="header1.xml"/><Relationship Id="rId41" Type="http://schemas.openxmlformats.org/officeDocument/2006/relationships/footer" Target="footer1.xml"/><Relationship Id="rId42" Type="http://schemas.openxmlformats.org/officeDocument/2006/relationships/hyperlink" Target="https://classics.mit.edu/Plutarch/theseus.html" TargetMode="External"/><Relationship Id="rId43" Type="http://schemas.openxmlformats.org/officeDocument/2006/relationships/hyperlink" Target="references/files/hayes-redlands-mayoral-by-election-assessment-2026-10-14.pdf" TargetMode="External"/><Relationship Id="rId44" Type="http://schemas.openxmlformats.org/officeDocument/2006/relationships/hyperlink" Target="references/files/hayes-constitutional-matrix-of-participation-2014-07-15.pdf" TargetMode="External"/><Relationship Id="rId45" Type="http://schemas.openxmlformats.org/officeDocument/2006/relationships/hyperlink" Target="references/files/project-atlas-projects-snapshot-2026-10-09.json" TargetMode="External"/><Relationship Id="rId46" Type="http://schemas.openxmlformats.org/officeDocument/2006/relationships/hyperlink" Target="references/files/ic-infinity-a-protopian-gambit-lyrics-updated-2026-07-04.pdf" TargetMode="External"/><Relationship Id="rId47" Type="http://schemas.openxmlformats.org/officeDocument/2006/relationships/hyperlink" Target="references/files/ic-infinity-a-protopian-gambit-lyrics-updated-2026-07-04.pdf#page=1" TargetMode="External"/><Relationship Id="rId48" Type="http://schemas.openxmlformats.org/officeDocument/2006/relationships/hyperlink" Target="references/files/ic-infinity-a-protopian-gambit-lyrics-updated-2026-07-04.pdf#page=5" TargetMode="External"/><Relationship Id="rId49" Type="http://schemas.openxmlformats.org/officeDocument/2006/relationships/hyperlink" Target="references/files/ic-infinity-a-protopian-gambit-lyrics-updated-2026-07-04.pdf#page=12" TargetMode="External"/><Relationship Id="rId50" Type="http://schemas.openxmlformats.org/officeDocument/2006/relationships/hyperlink" Target="references/files/ic-infinity-a-protopian-gambit-lyrics-updated-2026-07-04.pdf#page=16" TargetMode="External"/><Relationship Id="rId51" Type="http://schemas.openxmlformats.org/officeDocument/2006/relationships/hyperlink" Target="references/files/ic-infinity-a-protopian-gambit-lyrics-updated-2026-07-04.pdf#page=28" TargetMode="External"/><Relationship Id="rId52" Type="http://schemas.openxmlformats.org/officeDocument/2006/relationships/hyperlink" Target="references/files/ic-infinity-straddie-fun-lyrics-updated-2026-07-17.pdf" TargetMode="External"/><Relationship Id="rId53" Type="http://schemas.openxmlformats.org/officeDocument/2006/relationships/hyperlink" Target="references/files/ic-infinity-straddie-fun-lyrics-updated-2026-07-17.pdf#page=10" TargetMode="External"/><Relationship Id="rId54" Type="http://schemas.openxmlformats.org/officeDocument/2006/relationships/hyperlink" Target="references/files/ic-infinity-straddie-fun-lyrics-updated-2026-07-17.pdf#page=12" TargetMode="External"/><Relationship Id="rId55" Type="http://schemas.openxmlformats.org/officeDocument/2006/relationships/hyperlink" Target="references/files/hayes-aura-teacher-training-sixty-days-2026-10-14.pdf" TargetMode="External"/><Relationship Id="rId56" Type="http://schemas.openxmlformats.org/officeDocument/2006/relationships/hyperlink" Target="references/files/hayes-jra-human-superintelligence-alignment-revised-2026-10-11.pdf" TargetMode="External"/><Relationship Id="rId57" Type="http://schemas.openxmlformats.org/officeDocument/2006/relationships/hyperlink" Target="references/files/hayes-jra-human-superintelligence-alignment-revised-2026-10-11.pdf#page=11" TargetMode="External"/><Relationship Id="rId58" Type="http://schemas.openxmlformats.org/officeDocument/2006/relationships/hyperlink" Target="references/files/hayes-jra-human-superintelligence-alignment-revised-2026-10-11.pdf#page=13" TargetMode="External"/><Relationship Id="rId59" Type="http://schemas.openxmlformats.org/officeDocument/2006/relationships/hyperlink" Target="references/files/hayes-jra-human-superintelligence-alignment-revised-2026-10-11.pdf#page=15" TargetMode="External"/><Relationship Id="rId60" Type="http://schemas.openxmlformats.org/officeDocument/2006/relationships/hyperlink" Target="references/files/hayes-jra-human-superintelligence-alignment-revised-2026-10-11.pdf#page=16" TargetMode="External"/><Relationship Id="rId61" Type="http://schemas.openxmlformats.org/officeDocument/2006/relationships/hyperlink" Target="references/files/hayes-jra-human-superintelligence-alignment-revised-2026-10-11.pdf#page=17" TargetMode="External"/><Relationship Id="rId62" Type="http://schemas.openxmlformats.org/officeDocument/2006/relationships/hyperlink" Target="references/files/hayes-community-hours-jra-plan-edition-5-2026-09-23.pdf" TargetMode="External"/><Relationship Id="rId63" Type="http://schemas.openxmlformats.org/officeDocument/2006/relationships/hyperlink" Target="references/files/hayes-community-hours-jra-plan-edition-5-2026-09-23.pdf#page=10" TargetMode="External"/><Relationship Id="rId64" Type="http://schemas.openxmlformats.org/officeDocument/2006/relationships/hyperlink" Target="references/files/hayes-fair-go-ai-age-postcode-sovereign-compute-2026-08-18.docx" TargetMode="External"/><Relationship Id="rId65" Type="http://schemas.openxmlformats.org/officeDocument/2006/relationships/hyperlink" Target="references/files/hayes-ready-set-co-2026-strategy-undated.pdf" TargetMode="External"/><Relationship Id="rId66" Type="http://schemas.openxmlformats.org/officeDocument/2006/relationships/hyperlink" Target="https://auraofintelligence.github.io/Anglican-Diocese-82-Claytons-Amity/documents/24-setco-2026-pitch-plan-revision.md" TargetMode="External"/><Relationship Id="rId67" Type="http://schemas.openxmlformats.org/officeDocument/2006/relationships/hyperlink" Target="references/files/hayes-sovereign-space-builder-part-2-specification-undated.pdf" TargetMode="External"/><Relationship Id="rId68" Type="http://schemas.openxmlformats.org/officeDocument/2006/relationships/hyperlink" Target="references/files/hayes-gift-for-generations-82-claytons-road-2026-09-22.pdf" TargetMode="External"/><Relationship Id="rId69" Type="http://schemas.openxmlformats.org/officeDocument/2006/relationships/hyperlink" Target="https://auraofintelligence.github.io/Anglican-Diocese-82-Claytons-Amity/" TargetMode="External"/><Relationship Id="rId70" Type="http://schemas.openxmlformats.org/officeDocument/2006/relationships/hyperlink" Target="references/files/hayes-fiji-australia-vuvale-union-submission-2026-08-29.docx" TargetMode="External"/><Relationship Id="rId71" Type="http://schemas.openxmlformats.org/officeDocument/2006/relationships/hyperlink" Target="references/files/hayes-ocean-of-peace-veitacini-treaty-submission-2026-08-27.docx" TargetMode="External"/><Relationship Id="rId72" Type="http://schemas.openxmlformats.org/officeDocument/2006/relationships/hyperlink" Target="https://auraofintelligence.github.io/UNGA81-Luke-Hayes/documents/Ocean_of_Peace_Alliance_Veitacini_Treaty_Submission_Luke_Nathan_Hayes_2026.docx" TargetMode="External"/><Relationship Id="rId73" Type="http://schemas.openxmlformats.org/officeDocument/2006/relationships/hyperlink" Target="references/files/hayes-aukus-public-inquiry-distributed-civic-ai-2026-08-24.docx" TargetMode="External"/><Relationship Id="rId74" Type="http://schemas.openxmlformats.org/officeDocument/2006/relationships/hyperlink" Target="https://auraofintelligence.github.io/UNGA81-Luke-Hayes/documents/AUKUS_Public_Inquiry_Submission_Luke_Nathan_Hayes_2026.docx" TargetMode="External"/><Relationship Id="rId75" Type="http://schemas.openxmlformats.org/officeDocument/2006/relationships/hyperlink" Target="references/files/hayes-fair-go-age-intelligence-unga81-2026-09.pdf" TargetMode="External"/><Relationship Id="rId76" Type="http://schemas.openxmlformats.org/officeDocument/2006/relationships/hyperlink" Target="references/files/hayes-fair-go-age-intelligence-unga81-2026-09.pdf#page=2" TargetMode="External"/><Relationship Id="rId77" Type="http://schemas.openxmlformats.org/officeDocument/2006/relationships/hyperlink" Target="references/files/hayes-fair-go-age-intelligence-unga81-2026-09.pdf#page=7" TargetMode="External"/><Relationship Id="rId78" Type="http://schemas.openxmlformats.org/officeDocument/2006/relationships/hyperlink" Target="references/files/hayes-fair-go-age-intelligence-unga81-2026-09.pdf#page=4" TargetMode="External"/><Relationship Id="rId79" Type="http://schemas.openxmlformats.org/officeDocument/2006/relationships/hyperlink" Target="references/index.html#choose-infinity-albanese-posts" TargetMode="External"/><Relationship Id="rId80" Type="http://schemas.openxmlformats.org/officeDocument/2006/relationships/hyperlink" Target="references/files/hayes-local-government-funding-submission-2-undated.pdf" TargetMode="External"/><Relationship Id="rId81" Type="http://schemas.openxmlformats.org/officeDocument/2006/relationships/hyperlink" Target="references/files/hayes-project-aura-geode-hbot-cooperative-framework-undated.pdf" TargetMode="External"/><Relationship Id="rId82" Type="http://schemas.openxmlformats.org/officeDocument/2006/relationships/hyperlink" Target="references/files/hayes-decentralized-global-sensorium-strategic-plan-undated.pdf" TargetMode="External"/><Relationship Id="rId83" Type="http://schemas.openxmlformats.org/officeDocument/2006/relationships/hyperlink" Target="references/index.html#choose-infinity-rudd-posts" TargetMode="External"/><Relationship Id="rId84" Type="http://schemas.openxmlformats.org/officeDocument/2006/relationships/hyperlink" Target="references/files/hayes-queensland-heart-first-ai-surge-plan-undate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When Redlands discovers Luke Hayes</dc:title>
  <dc:subject>Music personal intelligence and whole systems change</dc:subject>
  <dc:creator>Luke Nathan Hayes</dc:creator>
  <cp:keywords>Joyful Responsible Abundance, Redlands, Aura Genesis, GAJRA Earth</cp:keywords>
  <dc:description>generated by python-docx</dc:description>
  <cp:lastModifiedBy/>
  <cp:revision>4</cp:revision>
  <dcterms:created xsi:type="dcterms:W3CDTF">2013-12-23T23:15:00Z</dcterms:created>
  <dcterms:modified xsi:type="dcterms:W3CDTF">2026-10-16T05:30:31Z</dcterms:modified>
  <cp:category/>
  <cp:version>4.0</cp:version>
</cp:coreProperties>
</file>