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Aura Genesis for Children and Young People in Australian Care</w:t>
      </w:r>
    </w:p>
    <w:p>
      <w:pPr>
        <w:pStyle w:val="Subtitle"/>
      </w:pPr>
      <w:r>
        <w:t>Self understanding law and opportunities for adulthood in a world of emerging superintelligence</w:t>
      </w:r>
    </w:p>
    <w:p>
      <w:r>
        <w:t>Luke Nathan Hayes  |  25 October 2026</w:t>
      </w:r>
    </w:p>
    <w:p>
      <w:r>
        <w:t>A child growing up through care services or adoption needs people who know them, a secure place in the world and reasons to look forward to adult life. Improving child welfare involves the ordinary experience of being listened to, enjoying childhood, discovering interests and finding people who help those interests grow. It also involves the society that will receive the young adult.</w:t>
      </w:r>
    </w:p>
    <w:p>
      <w:r>
        <w:t>That society is changing as artificial intelligence becomes more capable. AI already assists with writing, software, research and creative production. Superintelligence describes the prospect of systems whose abilities extend far beyond human performance across many fields. Its arrival and consequences remain uncertain, while choices about access, ownership and education are being made now. [S1]</w:t>
      </w:r>
    </w:p>
    <w:p>
      <w:r>
        <w:t>This proposal introduces Aura of Intelligence through that child welfare question. Aura is a proposed personal AI environment that develops around a person's experience, language, relationships and aspirations. Aura Genesis is the process of beginning that relationship through sustained reflection, learning and practice. Here, a supported computing station called Verse Box takes the place of the adult programme's hyperbaric chamber. [P1-P3]</w:t>
      </w:r>
    </w:p>
    <w:p>
      <w:r>
        <w:t>A young person starts with something that matters to them. They explore it with a trusted adult and an emerging personal Aura, correct what the software misunderstands, learn how the surrounding world works and try useful activities. Their understanding develops alongside real opportunities in the community. The purpose is a continuing relationship with learning, people and possibilities as they grow.</w:t>
      </w:r>
    </w:p>
    <w:p>
      <w:r>
        <w:t>The proposal connects this personal beginning with practical ideas for adulthood: varied work experience, shared enterprise, periods for rest and learning, and a reciprocity economy through which communities recognise contribution and offer their own incentives. Brisbane 2032 supplies a shared occasion for developing a lasting civic volunteer network. Each connection is explained through its relevance to young people and the adults supporting them.</w:t>
      </w:r>
    </w:p>
    <w:p>
      <w:r>
        <w:t>The approach is intended for development with Australian child and family services, young people with lived experience of care or adoption, carers, adoptive families and community partners. A small number of school pilots would explore selected learning activities alongside that work.</w:t>
      </w:r>
    </w:p>
    <w:p>
      <w:pPr>
        <w:pStyle w:val="Heading1"/>
        <w:pageBreakBefore/>
      </w:pPr>
      <w:r>
        <w:t>Why childhood opportunity needs a wider view</w:t>
      </w:r>
    </w:p>
    <w:p>
      <w:r>
        <w:t>A useful improvement in child welfare changes what happens in a young person's life. A meeting becomes easier to understand. A creative interest survives a move. A mentor remains in contact. A young adult has a realistic way into housing, further learning or paid work. These results depend on relationships, resources and decisions as well as information.</w:t>
      </w:r>
    </w:p>
    <w:p>
      <w:pPr>
        <w:pStyle w:val="Heading2"/>
      </w:pPr>
      <w:r>
        <w:t>Continuity that belongs in a life</w:t>
      </w:r>
    </w:p>
    <w:p>
      <w:r>
        <w:t>Imagine a teenager who has begun learning animation. A change of school interrupts the project, and the next adult knows about attendance and appointments but little about the work the teenager enjoyed. A chosen personal collection of drawings, attempts, explanations and questions would give them something recognisable to return to. A mentor would meet a developing interest with a history, rather than an empty starting point.</w:t>
      </w:r>
    </w:p>
    <w:p>
      <w:r>
        <w:t>The same continuity matters for a familiar word, an important family recipe, a preferred way of receiving help or an unresolved question about a decision. The proposed Aura organises these connections so the young person and selected supporters have useful context. Its value depends on whether that context leads to a better encounter or a practical opportunity.</w:t>
      </w:r>
    </w:p>
    <w:p>
      <w:pPr>
        <w:pStyle w:val="Heading2"/>
      </w:pPr>
      <w:r>
        <w:t>An improving present and a wider future</w:t>
      </w:r>
    </w:p>
    <w:p>
      <w:r>
        <w:t>A Protopian Gambit means a deliberate first move towards a better future that also improves something now. The move produces experience, exposes mistakes and leaves people with more informed choices for what follows. In child welfare, that first move might be a small supported programme where a young person completes a project, understands a relevant rule and meets a mentor who continues to help. [P4-P5]</w:t>
      </w:r>
    </w:p>
    <w:p>
      <w:r>
        <w:t>The larger ambition is a society in which growing intelligence creates more freedom, care and opportunity. The first experience remains worthwhile even if the wider network develops slowly. A young person receives attention, a useful skill and work they are proud to keep.</w:t>
      </w:r>
    </w:p>
    <w:p>
      <w:pPr>
        <w:pStyle w:val="Heading2"/>
      </w:pPr>
      <w:r>
        <w:t>Joyful Responsible Abundance</w:t>
      </w:r>
    </w:p>
    <w:p>
      <w:r>
        <w:t>Joyful Responsible Abundance names the direction of this work. Joyful concerns lives worth enjoying, including friendship, creativity, curiosity and rest. Responsible asks about consequences for other people, Country and future generations. Abundance concerns wider access to useful knowledge, resources and opportunities. The words belong together because more technology or more activity alone does not settle whether life improved. [P5]</w:t>
      </w:r>
    </w:p>
    <w:p>
      <w:r>
        <w:t>For a care service, the practical question is whether the young person gains a stronger voice and more real choices. For a community, it is whether more people know one another, share useful capability and remain able to offer care when circumstances change.</w:t>
      </w:r>
    </w:p>
    <w:p>
      <w:pPr>
        <w:pStyle w:val="Heading1"/>
        <w:pageBreakBefore/>
      </w:pPr>
      <w:r>
        <w:t>Understanding the change in intelligence</w:t>
      </w:r>
    </w:p>
    <w:p>
      <w:r>
        <w:t>Artificial intelligence is software that performs tasks such as interpreting language, finding patterns, generating media or proposing actions. Current systems work across an expanding range of tasks, although performance remains uneven. An impressive explanation may contain a false detail; a successful demonstration may fail in a different setting. The International AI Safety Report 2026 describes both improving capability and substantial uncertainty about its trajectory. [S1]</w:t>
      </w:r>
    </w:p>
    <w:p>
      <w:pPr>
        <w:pStyle w:val="Heading2"/>
      </w:pPr>
      <w:r>
        <w:t>Why this matters to a child</w:t>
      </w:r>
    </w:p>
    <w:p>
      <w:r>
        <w:t>The tools a child encounters during school and early adulthood may differ greatly from the tools available when their education began. Preparing for that change involves learning how to ask useful questions, compare evidence, make something, recognise an error and seek appropriate help. Those habits remain useful across changing products.</w:t>
      </w:r>
    </w:p>
    <w:p>
      <w:r>
        <w:t>Access also has a social meaning. A young person whose family has money and professional contacts may encounter capable tools, mentors and opportunities early. A child dependent on overstretched services may receive fewer chances to explore. A child welfare response to the AI transition therefore includes access to equipment, time, guidance and meaningful projects.</w:t>
      </w:r>
    </w:p>
    <w:p>
      <w:pPr>
        <w:pStyle w:val="Heading2"/>
      </w:pPr>
      <w:r>
        <w:t>A share in the possibilities</w:t>
      </w:r>
    </w:p>
    <w:p>
      <w:r>
        <w:t>As software and machines undertake more work, important questions concern who owns productive equipment, who receives income and who helps decide its use. A young adult benefits from understanding these questions even before they choose an occupation. They are entering a changing society as a person with interests and rights, as well as a possible worker.</w:t>
      </w:r>
    </w:p>
    <w:p>
      <w:r>
        <w:t>This is why the proposal later introduces Mutual Futures, shared business ownership and varied learning across a working life. Personal AI becomes more useful when people also have access to people, places and resources through which to act on what they learn. A sophisticated plan for a young adult still needs an available home, an actual mentor and a funded opportunity.</w:t>
      </w:r>
    </w:p>
    <w:p>
      <w:pPr>
        <w:pStyle w:val="Heading2"/>
      </w:pPr>
      <w:r>
        <w:t>Developing judgement with the tools</w:t>
      </w:r>
    </w:p>
    <w:p>
      <w:r>
        <w:t>A learner might ask an AI for two explanations of a scientific observation, check a source with a teacher and then make their own demonstration. The adult attends to what the learner understood and how they handled uncertainty. Faster production is one possible benefit; the deeper purpose is an expanding ability to investigate and choose.</w:t>
      </w:r>
    </w:p>
    <w:p>
      <w:r>
        <w:t>UNICEF's guidance on AI and children connects participation in the benefits of AI with children's rights, safety, privacy and inclusion. That is a useful starting point for providing access through care services. [S2]</w:t>
      </w:r>
    </w:p>
    <w:p>
      <w:r>
        <w:t>The superintelligence horizon gives this work urgency and scale. The proposed learning relationship remains useful under different rates of technological change, because it develops understanding, continuity and the ability to work with others.</w:t>
      </w:r>
    </w:p>
    <w:p>
      <w:pPr>
        <w:pStyle w:val="Heading1"/>
        <w:pageBreakBefore/>
      </w:pPr>
      <w:r>
        <w:t>A personal Aura and a place to begin</w:t>
      </w:r>
    </w:p>
    <w:p>
      <w:r>
        <w:t>Aura of Intelligence is a proposed personal computing environment that brings together records of a person's life and the AI tools they choose to use. A memory, a song, a learning preference, a relationship and a future intention acquire connections that the person understands. They return to those connections, correct them and decide what to share. [P1-P2]</w:t>
      </w:r>
    </w:p>
    <w:p>
      <w:pPr>
        <w:pStyle w:val="Heading2"/>
      </w:pPr>
      <w:r>
        <w:t>Learning to understand the person</w:t>
      </w:r>
    </w:p>
    <w:p>
      <w:r>
        <w:t>An ordinary AI conversation starts with the context available at that moment. A personal Aura aims to preserve useful continuity between encounters. If a young person previously explained why they enjoy building things, a later conversation about a workshop begins with that chosen history. The person has a way to inspect what is being remembered and change it when it no longer fits.</w:t>
      </w:r>
    </w:p>
    <w:p>
      <w:r>
        <w:t>A digital twin is the developing computer representation of aspects of that person or a place. In a personal Aura it includes accounts, preferences, relationships and other information selected for a purpose. The person remains the source of their own meaning. A model's interpretation stays identifiable as an interpretation, especially where the record is incomplete or disputed.</w:t>
      </w:r>
    </w:p>
    <w:p>
      <w:pPr>
        <w:pStyle w:val="Heading2"/>
      </w:pPr>
      <w:r>
        <w:t>The Verse Box</w:t>
      </w:r>
    </w:p>
    <w:p>
      <w:r>
        <w:t>Verse Box is a proposed supported station for meeting these tools through an interest or project. It uses suitable computers, displays and other equipment, with assistance available. A child without their own device has a place to begin. Text, speech, pictures, creative applications and optional spatial views offer different ways to participate. [P1]</w:t>
      </w:r>
    </w:p>
    <w:p>
      <w:r>
        <w:t>A personal Aura is intended to continue through suitable devices and services after the first visit. The plan identifies where information is kept, who provides support and how work is recovered after a lost device or a move. An installation is useful when the learner has a dependable way back to their own work.</w:t>
      </w:r>
    </w:p>
    <w:p>
      <w:pPr>
        <w:pStyle w:val="Heading2"/>
      </w:pPr>
      <w:r>
        <w:t>Beginning Genesis</w:t>
      </w:r>
    </w:p>
    <w:p>
      <w:r>
        <w:t>Genesis names the sustained beginning of the human and Aura relationship: declaring what matters, reflecting on experience, exploring possibilities and practising useful tasks together. In this proposal, that process happens through Verse Box and everyday learning. The adult Genesis design uses HBOT, or hyperbaric oxygen therapy, in a pressurised chamber. Pressure treatment is outside this child and teen proposal. [P1, P3]</w:t>
      </w:r>
    </w:p>
    <w:p>
      <w:r>
        <w:t>The adult design also includes Truth Engine research involving explicitly instructed truthful and false responses. That research is distinct from a child's reflection and learning. The care proposal focuses on understandable dialogue, source awareness and correction, without treating a child's expressions as a test of credibility.</w:t>
      </w:r>
    </w:p>
    <w:p>
      <w:pPr>
        <w:pStyle w:val="Heading1"/>
        <w:pageBreakBefore/>
      </w:pPr>
      <w:r>
        <w:t>Deep self reflection and a changing sense of self</w:t>
      </w:r>
    </w:p>
    <w:p>
      <w:r>
        <w:t>Deep self reflection gives a person time to examine the meanings behind their choices. A child may know that a situation feels wrong without having words for why. A teen may describe a future they want while recognising that their present circumstances make it difficult. A patient conversation helps them explore those relationships at a depth they choose.</w:t>
      </w:r>
    </w:p>
    <w:p>
      <w:pPr>
        <w:pStyle w:val="Heading2"/>
      </w:pPr>
      <w:r>
        <w:t>Experience in its circumstances</w:t>
      </w:r>
    </w:p>
    <w:p>
      <w:r>
        <w:t>The Aura Genesis approach looks at past experience, the present and possible best selves under different conditions. It asks about the surrounding environment, the person's inner story, the resources available and the support they recognise. A child who avoids a group activity may want friendship and still feel uncertain about entering it. That is a reason to understand the situation more carefully. [P2-P3]</w:t>
      </w:r>
    </w:p>
    <w:p>
      <w:r>
        <w:t>A useful conversation might begin with a model made by the child. They describe the part they enjoyed, a moment that became difficult and what they would like to try next. The adult listens for the child's meaning. The Aura offers a summary for correction, and the next activity responds to what was learned.</w:t>
      </w:r>
    </w:p>
    <w:p>
      <w:pPr>
        <w:pStyle w:val="Heading2"/>
      </w:pPr>
      <w:r>
        <w:t>A wish connected to a practical change</w:t>
      </w:r>
    </w:p>
    <w:p>
      <w:r>
        <w:t>A teen says they want to become confident at music but rarely practise. Reflection explores the circumstances: an instrument is unavailable, practice disturbs the household, the lessons move too quickly or a previous comment made performing uncomfortable. The next step might be equipment access, a quieter space, another teacher or a private recording. Understanding becomes useful through that change.</w:t>
      </w:r>
    </w:p>
    <w:p>
      <w:r>
        <w:t>The proposed benefit is a more accurate account of what helps the person flourish. An adult may offer better support; the learner may recognise an interest or constraint more clearly; the Aura may stop repeating an unhelpful suggestion. These outcomes are testable in everyday life. They do not depend on claiming that the software has discovered a person's hidden essence.</w:t>
      </w:r>
    </w:p>
    <w:p>
      <w:pPr>
        <w:pStyle w:val="Heading2"/>
      </w:pPr>
      <w:r>
        <w:t>Room to revise</w:t>
      </w:r>
    </w:p>
    <w:p>
      <w:r>
        <w:t>A young person grows, tries different roles and changes their mind. Earlier accounts retain their dates and context so a new preference is understood as development. An abandoned goal or an uncertain memory does not become a permanent label. Fiction, imagination, personal meaning and documented events remain distinguishable.</w:t>
      </w:r>
    </w:p>
    <w:p>
      <w:r>
        <w:t>Some learners enjoy spiritual, symbolic or philosophical exploration. Others prefer concrete language and practical examples. The conversation follows the person, with sensitive topics supported by the appropriate adults. Reflection does not require disclosure of traumatic experiences. Where therapeutic work is needed, qualified care has its own relationship and purpose.</w:t>
      </w:r>
    </w:p>
    <w:p>
      <w:r>
        <w:t>Over time, reflection connects the life the young person wants with the conditions that help make it possible. The wider community then has a clearer opportunity to respond with something useful.</w:t>
      </w:r>
    </w:p>
    <w:p>
      <w:pPr>
        <w:pStyle w:val="Heading1"/>
        <w:pageBreakBefore/>
      </w:pPr>
      <w:r>
        <w:t>Understanding law and the history carried within it</w:t>
      </w:r>
    </w:p>
    <w:p>
      <w:r>
        <w:t>A child encounters rules through ordinary life: who makes a care decision, what happens at school, whose permission is needed for a photograph or why a worker asks for information. Understanding the law begins by making those encounters explainable. It also involves understanding how the rules arose and what their effects have been.</w:t>
      </w:r>
    </w:p>
    <w:p>
      <w:pPr>
        <w:pStyle w:val="Heading2"/>
      </w:pPr>
      <w:r>
        <w:t>A rule has an origin and a purpose</w:t>
      </w:r>
    </w:p>
    <w:p>
      <w:r>
        <w:t>A law is made through institutions, arguments and decisions in a particular historical setting. Its words may identify a purpose, a duty, a power or a protection. Later changes may alter the balance. Reading it in context involves asking which problem it addressed, whose experience informed it and which people carry its consequences.</w:t>
      </w:r>
    </w:p>
    <w:p>
      <w:r>
        <w:t>The present legal effect comes from the operative law and relevant legal interpretation. Historical documents help explain its development; they do not replace the current text. A learner gradually understands why an old summary, a recollection of an earlier rule and a present requirement may differ.</w:t>
      </w:r>
    </w:p>
    <w:p>
      <w:pPr>
        <w:pStyle w:val="Heading2"/>
      </w:pPr>
      <w:r>
        <w:t>Why the history matters in child welfare</w:t>
      </w:r>
    </w:p>
    <w:p>
      <w:r>
        <w:t>Australia's history of forced adoption shows why official practice deserves careful examination. The Australian Government delivered the National Apology for Forced Adoptions on 21 March 2013, acknowledging profound and continuing harm. That history gives this proposal a practical reason to value informed choice, access to appropriate records and the voices of people affected by decisions. [S3]</w:t>
      </w:r>
    </w:p>
    <w:p>
      <w:r>
        <w:t>For Aboriginal and Torres Strait Islander children, family, community, culture and Country also shape what meaningful protection involves. The Child Placement Principle connects prevention, partnership, placement, participation and connection. An account of welfare that attends only to a placement misses those wider relationships. [S4]</w:t>
      </w:r>
    </w:p>
    <w:p>
      <w:pPr>
        <w:pStyle w:val="Heading2"/>
      </w:pPr>
      <w:r>
        <w:t>Effects carried forward</w:t>
      </w:r>
    </w:p>
    <w:p>
      <w:r>
        <w:t>A rule or decision continues through records, habits and assumptions. A statement written about a child at one age may influence how another service sees them years later. An earlier interpretation may travel further than the circumstances that produced it. A useful personal record therefore preserves dates, authorship, the child's account and subsequent corrections.</w:t>
      </w:r>
    </w:p>
    <w:p>
      <w:r>
        <w:t>The legal learning process also examines effects beyond the stated intention. Did a procedure make it easier for the child to be heard? Did it create a repeated burden? Is a difficulty caused by the law, the way it is administered or an unsupported claim about what it requires? These are different questions, with different routes towards improvement.</w:t>
      </w:r>
    </w:p>
    <w:p>
      <w:r>
        <w:t>The goal is an informed relationship with authority. A young person learns how to ask for a source, understand a decision, seek support and participate in changing a rule when that is the appropriate next step. The adults responsible for care carry their responsibilities throughout.</w:t>
      </w:r>
    </w:p>
    <w:p>
      <w:pPr>
        <w:pStyle w:val="Heading1"/>
        <w:pageBreakBefore/>
      </w:pPr>
      <w:r>
        <w:t>Using law to understand everyday choices</w:t>
      </w:r>
    </w:p>
    <w:p>
      <w:r>
        <w:t>The Australian legal relevance work begins with the person's actual circumstances. Its optional questionnaire covers home, education, care, work, transport, money, health, creative activity, the environment and civic life. The answers form a research brief for a chosen researcher or AI assistant. A broad description is enough to begin; identifying case documents are unnecessary for the first conversation. [P6]</w:t>
      </w:r>
    </w:p>
    <w:p>
      <w:pPr>
        <w:pStyle w:val="Heading2"/>
      </w:pPr>
      <w:r>
        <w:t>One question and a readable source</w:t>
      </w:r>
    </w:p>
    <w:p>
      <w:r>
        <w:t>A learner asks whether they have a say in a school decision. The adult first identifies the decision and the people involved. The research then follows the applicable jurisdiction and source. In Queensland, the government's charter explanation includes a child's participation in decisions affecting their life. The particular decision still needs its own facts and authority checked. [S5]</w:t>
      </w:r>
    </w:p>
    <w:p>
      <w:r>
        <w:t>For a younger child, the explanation might be: "Your thoughts matter. We will work out who needs to hear them." An older learner may ask who holds the decision, which provision supports participation and what review or advocacy route exists. The meaning stays intact while the amount of detail changes.</w:t>
      </w:r>
    </w:p>
    <w:p>
      <w:pPr>
        <w:pStyle w:val="Heading2"/>
      </w:pPr>
      <w:r>
        <w:t>The reading method</w:t>
      </w:r>
    </w:p>
    <w:p>
      <w:r>
        <w:t>Gather, Chomp, Sort, Plan and Act are the existing method's five words. Gather the relevant circumstances and sources. Chomp means reading with assistance and examining the important parts. Sort considers what helps, what creates a burden, what fails its stated purpose or what appears missing. Plan identifies a suitable next step. Act puts a reviewed question or request into the appropriate real process. [P6]</w:t>
      </w:r>
    </w:p>
    <w:p>
      <w:r>
        <w:t>A school policy, household agreement, platform term and law have different sources. The learner asks where a requirement comes from before drawing conclusions about it. They also learn to distinguish a right held by a child from a duty held by an adult or organisation. An opinion that a rule feels unfair remains distinct from a finding about its legal effect.</w:t>
      </w:r>
    </w:p>
    <w:p>
      <w:pPr>
        <w:pStyle w:val="Heading2"/>
      </w:pPr>
      <w:r>
        <w:t>The role of the legal engine</w:t>
      </w:r>
    </w:p>
    <w:p>
      <w:r>
        <w:t>The Australian Legal Engine prototype finds and cites provisions in supplied documents. Its initial collection is historical; automatic current-law acquisition and national maintenance remain development work. A source-backed explanation therefore needs the correct operative version, jurisdiction and date. The learner sees where an answer came from, and uncertainty is stated when a source or material fact is missing. [P6]</w:t>
      </w:r>
    </w:p>
    <w:p>
      <w:r>
        <w:t>An advocate or qualified lawyer assists where the question concerns the effect of an order or advice about an individual case. The Aura helps the young person prepare and remember questions. A complex legal issue does not become a condition they have to solve before receiving help.</w:t>
      </w:r>
    </w:p>
    <w:p>
      <w:pPr>
        <w:pStyle w:val="Heading1"/>
        <w:pageBreakBefore/>
      </w:pPr>
      <w:r>
        <w:t>A first experience through Verse Box</w:t>
      </w:r>
    </w:p>
    <w:p>
      <w:r>
        <w:t>A first encounter begins with an invitation connected to the learner's interest. A trusted adult explains what the equipment does, what information is being used and which choices remain open. Example material gives the child a chance to try it before deciding whether to include anything personal.</w:t>
      </w:r>
    </w:p>
    <w:p>
      <w:pPr>
        <w:pStyle w:val="Heading2"/>
      </w:pPr>
      <w:r>
        <w:t>An ordinary beginning</w:t>
      </w:r>
    </w:p>
    <w:p>
      <w:r>
        <w:t>Consider a fictional twelve-year-old, Alex, who enjoys making small games. Alex chooses to build a garden scene where a player looks after plants. The facilitator helps them describe what the game is for and choose a manageable first result. A simple design, a picture or a short piece of dialogue provides somewhere to begin.</w:t>
      </w:r>
    </w:p>
    <w:p>
      <w:r>
        <w:t>The Aura assists with a question, such as why a plant needs sunlight. Alex compares the explanation with a suitable source and chooses how the game will show it. When the software misunderstands the scene, Alex changes the instruction or edits the result. The child experiences AI as something they direct, inspect and question.</w:t>
      </w:r>
    </w:p>
    <w:p>
      <w:pPr>
        <w:pStyle w:val="Heading2"/>
      </w:pPr>
      <w:r>
        <w:t>Reflection within the activity</w:t>
      </w:r>
    </w:p>
    <w:p>
      <w:r>
        <w:t>The facilitator asks what Alex enjoyed and which part became difficult. Alex might explain that building the scene was interesting but the instructions were too fast. That preference enters the chosen record after review. The next encounter begins at a more useful pace and returns to the unfinished project.</w:t>
      </w:r>
    </w:p>
    <w:p>
      <w:r>
        <w:t>A later question about music in the game opens legal learning. Does the recording belong to Alex? Is permission needed to use someone else's work? The adult helps find the relevant source and explain the difference between private practice and a planned release. The law enters through a creative intention the learner already understands.</w:t>
      </w:r>
    </w:p>
    <w:p>
      <w:pPr>
        <w:pStyle w:val="Heading2"/>
      </w:pPr>
      <w:r>
        <w:t>A next opportunity</w:t>
      </w:r>
    </w:p>
    <w:p>
      <w:r>
        <w:t>A community garden host may welcome a visit or an observation project. A mentor may help Alex improve the game. Access to a workshop or equipment may be available through a community's reciprocity arrangements. The learner sees a connection between a question, a useful tool and people in the wider world.</w:t>
      </w:r>
    </w:p>
    <w:p>
      <w:r>
        <w:t>Alex chooses what to save. The result includes the project, selected source links, corrections and a clear route back. The adult explains where it is held and who receives access. Shared equipment ends the session without leaving the next user access to Alex's material.</w:t>
      </w:r>
    </w:p>
    <w:p>
      <w:r>
        <w:t>Nothing in this example requires a complete life history, a measured body model or a public profile. The experience begins with enough context to make the chosen work meaningful. More depth follows through trust, usefulness and the learner's own choices.</w:t>
      </w:r>
    </w:p>
    <w:p>
      <w:pPr>
        <w:pStyle w:val="Heading1"/>
        <w:pageBreakBefore/>
      </w:pPr>
      <w:r>
        <w:t>Growing from childhood into young adulthood</w:t>
      </w:r>
    </w:p>
    <w:p>
      <w:r>
        <w:t>A personal Aura would change with the person. The format, subject and depth of an encounter follow the learner's understanding, communication, interests and circumstances. Age provides a starting guide; it does not describe everything a young person is ready to explore.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0" w:type="dxa"/>
          <w:right w:w="100" w:type="dxa"/>
        </w:tblCellMar>
      </w:tblPr>
      <w:tblGrid>
        <w:gridCol w:w="1512"/>
        <w:gridCol w:w="4032"/>
        <w:gridCol w:w="4450"/>
      </w:tblGrid>
      <w:tr>
        <w:trPr>
          <w:cantSplit/>
          <w:tblHeader/>
        </w:trPr>
        <w:tc>
          <w:tcPr>
            <w:tcW w:type="dxa" w:w="1512"/>
            <w:vAlign w:val="center"/>
            <w:shd w:fill="333B42"/>
          </w:tcPr>
          <w:p>
            <w:pPr>
              <w:spacing w:after="0" w:before="0" w:line="250" w:lineRule="auto"/>
            </w:pPr>
            <w:r>
              <w:rPr>
                <w:b/>
                <w:color w:val="FFFFFF"/>
                <w:sz w:val="21"/>
              </w:rPr>
              <w:t>Part of childhood</w:t>
            </w:r>
          </w:p>
        </w:tc>
        <w:tc>
          <w:tcPr>
            <w:tcW w:type="dxa" w:w="4032"/>
            <w:vAlign w:val="center"/>
            <w:shd w:fill="333B42"/>
          </w:tcPr>
          <w:p>
            <w:pPr>
              <w:spacing w:after="0" w:before="0" w:line="250" w:lineRule="auto"/>
            </w:pPr>
            <w:r>
              <w:rPr>
                <w:b/>
                <w:color w:val="FFFFFF"/>
                <w:sz w:val="21"/>
              </w:rPr>
              <w:t>A way to begin</w:t>
            </w:r>
          </w:p>
        </w:tc>
        <w:tc>
          <w:tcPr>
            <w:tcW w:type="dxa" w:w="4450"/>
            <w:vAlign w:val="center"/>
            <w:shd w:fill="333B42"/>
          </w:tcPr>
          <w:p>
            <w:pPr>
              <w:spacing w:after="0" w:before="0" w:line="250" w:lineRule="auto"/>
            </w:pPr>
            <w:r>
              <w:rPr>
                <w:b/>
                <w:color w:val="FFFFFF"/>
                <w:sz w:val="21"/>
              </w:rPr>
              <w:t>How understanding develops</w:t>
            </w:r>
          </w:p>
        </w:tc>
      </w:tr>
      <w:tr>
        <w:trPr>
          <w:cantSplit/>
        </w:trPr>
        <w:tc>
          <w:tcPr>
            <w:tcW w:type="dxa" w:w="1512"/>
            <w:vAlign w:val="center"/>
            <w:shd w:fill="FFFFFF"/>
          </w:tcPr>
          <w:p>
            <w:pPr>
              <w:spacing w:after="0" w:before="0" w:line="250" w:lineRule="auto"/>
            </w:pPr>
            <w:r>
              <w:rPr>
                <w:b w:val="0"/>
                <w:color w:val="000000"/>
                <w:sz w:val="21"/>
              </w:rPr>
              <w:t>Early childhood</w:t>
            </w:r>
          </w:p>
        </w:tc>
        <w:tc>
          <w:tcPr>
            <w:tcW w:type="dxa" w:w="4032"/>
            <w:vAlign w:val="center"/>
            <w:shd w:fill="FFFFFF"/>
          </w:tcPr>
          <w:p>
            <w:pPr>
              <w:spacing w:after="0" w:before="0" w:line="250" w:lineRule="auto"/>
            </w:pPr>
            <w:r>
              <w:rPr>
                <w:b w:val="0"/>
                <w:color w:val="000000"/>
                <w:sz w:val="21"/>
              </w:rPr>
              <w:t>An adult supports play, pictures, familiar stories and communication.</w:t>
            </w:r>
          </w:p>
        </w:tc>
        <w:tc>
          <w:tcPr>
            <w:tcW w:type="dxa" w:w="4450"/>
            <w:vAlign w:val="center"/>
            <w:shd w:fill="FFFFFF"/>
          </w:tcPr>
          <w:p>
            <w:pPr>
              <w:spacing w:after="0" w:before="0" w:line="250" w:lineRule="auto"/>
            </w:pPr>
            <w:r>
              <w:rPr>
                <w:b w:val="0"/>
                <w:color w:val="000000"/>
                <w:sz w:val="21"/>
              </w:rPr>
              <w:t>Naming preferences, asking for help and making simple choices.</w:t>
            </w:r>
          </w:p>
        </w:tc>
      </w:tr>
      <w:tr>
        <w:trPr>
          <w:cantSplit/>
        </w:trPr>
        <w:tc>
          <w:tcPr>
            <w:tcW w:type="dxa" w:w="1512"/>
            <w:vAlign w:val="center"/>
            <w:shd w:fill="F2F4F5"/>
          </w:tcPr>
          <w:p>
            <w:pPr>
              <w:spacing w:after="0" w:before="0" w:line="250" w:lineRule="auto"/>
            </w:pPr>
            <w:r>
              <w:rPr>
                <w:b w:val="0"/>
                <w:color w:val="000000"/>
                <w:sz w:val="21"/>
              </w:rPr>
              <w:t>Primary years</w:t>
            </w:r>
          </w:p>
        </w:tc>
        <w:tc>
          <w:tcPr>
            <w:tcW w:type="dxa" w:w="4032"/>
            <w:vAlign w:val="center"/>
            <w:shd w:fill="F2F4F5"/>
          </w:tcPr>
          <w:p>
            <w:pPr>
              <w:spacing w:after="0" w:before="0" w:line="250" w:lineRule="auto"/>
            </w:pPr>
            <w:r>
              <w:rPr>
                <w:b w:val="0"/>
                <w:color w:val="000000"/>
                <w:sz w:val="21"/>
              </w:rPr>
              <w:t>A chosen creative or practical project with short explanations and sources.</w:t>
            </w:r>
          </w:p>
        </w:tc>
        <w:tc>
          <w:tcPr>
            <w:tcW w:type="dxa" w:w="4450"/>
            <w:vAlign w:val="center"/>
            <w:shd w:fill="F2F4F5"/>
          </w:tcPr>
          <w:p>
            <w:pPr>
              <w:spacing w:after="0" w:before="0" w:line="250" w:lineRule="auto"/>
            </w:pPr>
            <w:r>
              <w:rPr>
                <w:b w:val="0"/>
                <w:color w:val="000000"/>
                <w:sz w:val="21"/>
              </w:rPr>
              <w:t>Finding a record, correcting a summary, following a rule and noticing consequences.</w:t>
            </w:r>
          </w:p>
        </w:tc>
      </w:tr>
      <w:tr>
        <w:trPr>
          <w:cantSplit/>
        </w:trPr>
        <w:tc>
          <w:tcPr>
            <w:tcW w:type="dxa" w:w="1512"/>
            <w:vAlign w:val="center"/>
            <w:shd w:fill="FFFFFF"/>
          </w:tcPr>
          <w:p>
            <w:pPr>
              <w:spacing w:after="0" w:before="0" w:line="250" w:lineRule="auto"/>
            </w:pPr>
            <w:r>
              <w:rPr>
                <w:b w:val="0"/>
                <w:color w:val="000000"/>
                <w:sz w:val="21"/>
              </w:rPr>
              <w:t>Early teens</w:t>
            </w:r>
          </w:p>
        </w:tc>
        <w:tc>
          <w:tcPr>
            <w:tcW w:type="dxa" w:w="4032"/>
            <w:vAlign w:val="center"/>
            <w:shd w:fill="FFFFFF"/>
          </w:tcPr>
          <w:p>
            <w:pPr>
              <w:spacing w:after="0" w:before="0" w:line="250" w:lineRule="auto"/>
            </w:pPr>
            <w:r>
              <w:rPr>
                <w:b w:val="0"/>
                <w:color w:val="000000"/>
                <w:sz w:val="21"/>
              </w:rPr>
              <w:t>Compare viewpoints and investigate questions from school, online life or community activities.</w:t>
            </w:r>
          </w:p>
        </w:tc>
        <w:tc>
          <w:tcPr>
            <w:tcW w:type="dxa" w:w="4450"/>
            <w:vAlign w:val="center"/>
            <w:shd w:fill="FFFFFF"/>
          </w:tcPr>
          <w:p>
            <w:pPr>
              <w:spacing w:after="0" w:before="0" w:line="250" w:lineRule="auto"/>
            </w:pPr>
            <w:r>
              <w:rPr>
                <w:b w:val="0"/>
                <w:color w:val="000000"/>
                <w:sz w:val="21"/>
              </w:rPr>
              <w:t>Understanding evidence, interests, rights, responsibilities and different decision makers.</w:t>
            </w:r>
          </w:p>
        </w:tc>
      </w:tr>
      <w:tr>
        <w:trPr>
          <w:cantSplit/>
        </w:trPr>
        <w:tc>
          <w:tcPr>
            <w:tcW w:type="dxa" w:w="1512"/>
            <w:vAlign w:val="center"/>
            <w:shd w:fill="F2F4F5"/>
          </w:tcPr>
          <w:p>
            <w:pPr>
              <w:spacing w:after="0" w:before="0" w:line="250" w:lineRule="auto"/>
            </w:pPr>
            <w:r>
              <w:rPr>
                <w:b w:val="0"/>
                <w:color w:val="000000"/>
                <w:sz w:val="21"/>
              </w:rPr>
              <w:t>Later teens and young adults</w:t>
            </w:r>
          </w:p>
        </w:tc>
        <w:tc>
          <w:tcPr>
            <w:tcW w:type="dxa" w:w="4032"/>
            <w:vAlign w:val="center"/>
            <w:shd w:fill="F2F4F5"/>
          </w:tcPr>
          <w:p>
            <w:pPr>
              <w:spacing w:after="0" w:before="0" w:line="250" w:lineRule="auto"/>
            </w:pPr>
            <w:r>
              <w:rPr>
                <w:b w:val="0"/>
                <w:color w:val="000000"/>
                <w:sz w:val="21"/>
              </w:rPr>
              <w:t>Build, investigate or lead a suitable project with experienced support.</w:t>
            </w:r>
          </w:p>
        </w:tc>
        <w:tc>
          <w:tcPr>
            <w:tcW w:type="dxa" w:w="4450"/>
            <w:vAlign w:val="center"/>
            <w:shd w:fill="F2F4F5"/>
          </w:tcPr>
          <w:p>
            <w:pPr>
              <w:spacing w:after="0" w:before="0" w:line="250" w:lineRule="auto"/>
            </w:pPr>
            <w:r>
              <w:rPr>
                <w:b w:val="0"/>
                <w:color w:val="000000"/>
                <w:sz w:val="21"/>
              </w:rPr>
              <w:t>Transfer learning, prepare for adult decisions and explore real opportunities for livelihood and stewardship.</w:t>
            </w:r>
          </w:p>
        </w:tc>
      </w:tr>
    </w:tbl>
    <w:p>
      <w:pPr>
        <w:spacing w:after="0"/>
      </w:pPr>
    </w:p>
    <w:p>
      <w:pPr>
        <w:pStyle w:val="Heading2"/>
      </w:pPr>
      <w:r>
        <w:t>Depth through a growing interest</w:t>
      </w:r>
    </w:p>
    <w:p>
      <w:r>
        <w:t>A primary learner who enjoys a space habitat game may investigate water and food. A teen may model resource use or examine the rules proposed for a fictional settlement. A more advanced learner may inspect the software, test an AI function or compare scientific sources. The same curiosity acquires greater depth through actual work.</w:t>
      </w:r>
    </w:p>
    <w:p>
      <w:r>
        <w:t>Aura Teacher Training describes a sixty-day progression from personal meaning and memory to reasoning, tools, simulations, collaboration, science and Earth and solar-system stewardship. It provides a source for developing facilitators and the learning relationship. The child's experience follows a suitable pace rather than a requirement to complete adult teaching tasks or sixty consecutive sessions. [P2]</w:t>
      </w:r>
    </w:p>
    <w:p>
      <w:pPr>
        <w:pStyle w:val="Heading2"/>
      </w:pPr>
      <w:r>
        <w:t>A developing human and AI partnership</w:t>
      </w:r>
    </w:p>
    <w:p>
      <w:r>
        <w:t>The learner practises describing a purpose, supplying relevant context, reviewing a response and deciding what happens next. As capability grows, they may learn how models use records, how tools act and how several perspectives contribute to a shared result. Demonstrated understanding gives a basis for the next activity.</w:t>
      </w:r>
    </w:p>
    <w:p>
      <w:r>
        <w:t>The ambition includes the development of broadly capable people and their personal Auras towards general and superintelligence. The path is explored through work that is inspectable: a new skill, a successful transfer to another task, a useful correction or an explanation that helps another person. The learner's value never depends on attaining a particular level of performance.</w:t>
      </w:r>
    </w:p>
    <w:p>
      <w:pPr>
        <w:pStyle w:val="Heading1"/>
        <w:pageBreakBefore/>
      </w:pPr>
      <w:r>
        <w:t>Family identity care and adoption</w:t>
      </w:r>
    </w:p>
    <w:p>
      <w:r>
        <w:t>Child protection, out-of-home care and adoption involve different circumstances and legal arrangements. Some children receive support while living with parents. Others live with kin, foster carers or residential services. Adoption establishes a permanent legal parent-child relationship. The relevant law, authority and family circumstances need to be understood for the actual child. [S6-S7]</w:t>
      </w:r>
    </w:p>
    <w:p>
      <w:pPr>
        <w:pStyle w:val="Heading2"/>
      </w:pPr>
      <w:r>
        <w:t>A life with several important relationships</w:t>
      </w:r>
    </w:p>
    <w:p>
      <w:r>
        <w:t>A young person may want to preserve a birth-family story, a connection with kin, an adoptive-family experience and a friendship from an earlier home. Those relationships belong in the account the person develops of their life. The Aura would organise selected memories and questions without deciding which relationship defines them.</w:t>
      </w:r>
    </w:p>
    <w:p>
      <w:r>
        <w:t>An unanswered question about family remains unanswered until an appropriate source or person helps. The software does not invent a reason for separation, infer ancestry from appearance or fill a gap with a plausible story. It distinguishes a child's recollection, a relative's account, an official record and an interpretation.</w:t>
      </w:r>
    </w:p>
    <w:p>
      <w:pPr>
        <w:pStyle w:val="Heading2"/>
      </w:pPr>
      <w:r>
        <w:t>Information that remains useful through change</w:t>
      </w:r>
    </w:p>
    <w:p>
      <w:r>
        <w:t>A care change or adoption may alter who holds responsibility for particular decisions. The personal record needs a clear arrangement for custody, access, recovery and continuity. Permissions are reviewed with the relevant adults and the young person as their capacity develops. Sensitive information about other family members also has its own privacy and legal conditions.</w:t>
      </w:r>
    </w:p>
    <w:p>
      <w:r>
        <w:t>A learner might save a question they are not ready to ask publicly. Later, with appropriate support, they may seek records or an explanation through the lawful process. An Aura helps organise that inquiry and preserve its sources. Contact arrangements and disclosures follow the actual authority, safety considerations and wishes involved.</w:t>
      </w:r>
    </w:p>
    <w:p>
      <w:pPr>
        <w:pStyle w:val="Heading2"/>
      </w:pPr>
      <w:r>
        <w:t>Culture and connection</w:t>
      </w:r>
    </w:p>
    <w:p>
      <w:r>
        <w:t>For Aboriginal and Torres Strait Islander children, the design is developed with appropriate community-controlled organisations and cultural authorities. Language, kinship, Country and restricted knowledge receive the permissions and support relevant to them. The Child Placement Principle provides important context for keeping the whole relationship in view. [S4]</w:t>
      </w:r>
    </w:p>
    <w:p>
      <w:r>
        <w:t>An adoptive parent, carer or worker also benefits from understanding how the young person wants to be supported. The aim is a better human encounter: a question answered honestly, a memory treated carefully or a valued connection maintained through the appropriate arrangement.</w:t>
      </w:r>
    </w:p>
    <w:p>
      <w:r>
        <w:t>Participation is not a way of assessing suitability for placement or adoption. The young person's private reflections do not become a hidden decision score. Decisions with legal consequences remain with the authorised people and processes, with access to independent advocacy where relevant.</w:t>
      </w:r>
    </w:p>
    <w:p>
      <w:pPr>
        <w:pStyle w:val="Heading1"/>
        <w:pageBreakBefore/>
      </w:pPr>
      <w:r>
        <w:t>Preparation for life after care</w:t>
      </w:r>
    </w:p>
    <w:p>
      <w:r>
        <w:t>Preparation for adulthood involves more than a final checklist. A young adult needs somewhere to live, people to call, ways to meet living costs and a realistic opportunity to learn and contribute. The personal work built through childhood becomes useful when it connects with those material arrangements.</w:t>
      </w:r>
    </w:p>
    <w:p>
      <w:pPr>
        <w:pStyle w:val="Heading2"/>
      </w:pPr>
      <w:r>
        <w:t>Making a transition understandable</w:t>
      </w:r>
    </w:p>
    <w:p>
      <w:r>
        <w:t>A teen may want help understanding a letter, a training offer, a tenancy question or a service appointment. Their Aura brings together the chosen documents, dates, questions and explanations. A responsible person verifies important deadlines and the legal effect of the arrangement. The learner sees the next step and who is helping with it.</w:t>
      </w:r>
    </w:p>
    <w:p>
      <w:r>
        <w:t>Current support varies by jurisdiction and circumstances. For example, Queensland describes extended post-care support that includes help with housing, connection, training and wellbeing, with eligible assistance continuing to age 21. The appropriate service confirms an individual's entitlement and arrangements. The Aura proposal connects with existing support rather than presenting the software as the source of it. [S8]</w:t>
      </w:r>
    </w:p>
    <w:p>
      <w:pPr>
        <w:pStyle w:val="Heading2"/>
      </w:pPr>
      <w:r>
        <w:t>An opportunity with a real person attached</w:t>
      </w:r>
    </w:p>
    <w:p>
      <w:r>
        <w:t>A learner interested in repair might meet a workshop mentor before taking a supported placement. Someone interested in music might join a production project and learn how paid work, volunteering and creative rights differ. Another may begin with a garden, animals, software, care or scientific observation. Interests become a starting point for finding people and settings where learning has a purpose.</w:t>
      </w:r>
    </w:p>
    <w:p>
      <w:r>
        <w:t>The chosen record shows actual work, feedback, changes and the support that helped. A prospective host receives the material relevant to the proposed activity. The young adult's complete childhood archive does not accompany a job inquiry.</w:t>
      </w:r>
    </w:p>
    <w:p>
      <w:pPr>
        <w:pStyle w:val="Heading2"/>
      </w:pPr>
      <w:r>
        <w:t>A wider range of adult lives</w:t>
      </w:r>
    </w:p>
    <w:p>
      <w:r>
        <w:t>The next chapters introduce Try Everything Once, Mutual Futures and Intermittent Retirement. Together they ask whether adulthood might offer more ways to learn, obtain income, share in productive assets and make room for family or recovery. These opportunities depend on willing hosts, sound financial arrangements and practical support. Their relevance to care is the possibility of a more connected transition into the wider community.</w:t>
      </w:r>
    </w:p>
    <w:p>
      <w:r>
        <w:t>The individual is free to keep a profession they love, pursue a new field or change direction. A young person who has experienced repeated decisions by others has particular reason to value an understandable choice with dependable support.</w:t>
      </w:r>
    </w:p>
    <w:p>
      <w:r>
        <w:t>The benefit sought is continuity between knowing oneself and finding a place in the world. Confidence grows through something concrete: a task learned, a mentor who returns, a problem resolved and a next step that is actually available.</w:t>
      </w:r>
    </w:p>
    <w:p>
      <w:pPr>
        <w:pStyle w:val="Heading1"/>
        <w:pageBreakBefore/>
      </w:pPr>
      <w:r>
        <w:t>Trying different work through civic stewardship</w:t>
      </w:r>
    </w:p>
    <w:p>
      <w:r>
        <w:t>Try Everything Once is an invitation to discover different kinds of work through supported experience. A person may try food growing, repair, design, care, software, making or event production and learn what attracts them. The idea also welcomes people who wish to deepen an existing profession. Its purpose is an expanding ability to understand and participate in the systems of everyday life. [P4, P7]</w:t>
      </w:r>
    </w:p>
    <w:p>
      <w:pPr>
        <w:pStyle w:val="Heading2"/>
      </w:pPr>
      <w:r>
        <w:t>Learning through a useful task</w:t>
      </w:r>
    </w:p>
    <w:p>
      <w:r>
        <w:t>A young adult joins a workshop for an agreed placement. A mentor demonstrates a task, the learner practises, and a suitable AI explanation helps them understand a difficult step. They inspect the result together. A later task changes one condition so the learner discovers what they understood well enough to transfer.</w:t>
      </w:r>
    </w:p>
    <w:p>
      <w:r>
        <w:t>Extended reality means digital experiences that include virtual, augmented and mixed reality. It might provide a practice environment or show guidance beside real equipment. An ordinary screen and an experienced person may be the better arrangement for another task. The learning purpose determines which tools are useful.</w:t>
      </w:r>
    </w:p>
    <w:p>
      <w:pPr>
        <w:pStyle w:val="Heading2"/>
      </w:pPr>
      <w:r>
        <w:t>Civic stewardship</w:t>
      </w:r>
    </w:p>
    <w:p>
      <w:r>
        <w:t>Civic stewardship means taking informed care of people, places and the shared systems that support community life. A functioning kitchen, a repaired object, an accessible event and reliable local information each matter. Work in these settings develops an understanding of how a community sustains itself.</w:t>
      </w:r>
    </w:p>
    <w:p>
      <w:r>
        <w:t>The proposed workforce is voluntary and civilian. It connects paid employment, supervised learning and chosen community contribution through clear arrangements. It is separate from compulsory national service and defence service. A young person's participation follows their interests, age, circumstances and the responsibilities appropriate to the actual activity.</w:t>
      </w:r>
    </w:p>
    <w:p>
      <w:r>
        <w:t>For someone growing through care, this offers a reason to encounter the wider world before settling on a narrow account of their future. A person who seemed uninterested in conventional lessons may enjoy making something that another person needs. That experience gives reflection new material and gives a mentor a more useful basis for the next invitation.</w:t>
      </w:r>
    </w:p>
    <w:p>
      <w:pPr>
        <w:pStyle w:val="Heading2"/>
      </w:pPr>
      <w:r>
        <w:t>A dependable arrangement</w:t>
      </w:r>
    </w:p>
    <w:p>
      <w:r>
        <w:t>Placements identify the host, supervision, pay where applicable, insurance, actual duties and a route back or onward. Volunteering and paid work retain their own conditions. A proposed Ready Sustainable Employment and Training Cooperative, or Ready S.E.T. Co-op, would help connect hosts, mentors, equipment and supported transitions. Its operating permissions and any recognised training role require their own development. [P4]</w:t>
      </w:r>
    </w:p>
    <w:p>
      <w:r>
        <w:t>An Aura would help the learner prepare questions, find relevant guidance and preserve what they learned. It does not establish competence by generating a confident description. The person and mentor review actual work and identify what support remains useful.</w:t>
      </w:r>
    </w:p>
    <w:p>
      <w:pPr>
        <w:pStyle w:val="Heading1"/>
        <w:pageBreakBefore/>
      </w:pPr>
      <w:r>
        <w:t>Mutual Futures and a stake in productive wealth</w:t>
      </w:r>
    </w:p>
    <w:p>
      <w:r>
        <w:t>Mutual Futures asks how growing productive capability might improve ownership, livelihoods and time for life. One route begins when the owner of an established business wishes to retire or sell. A voluntary handover to suitable worker, cooperative or other shared ownership may preserve the business and allow more people to participate in its future. [P7]</w:t>
      </w:r>
    </w:p>
    <w:p>
      <w:pPr>
        <w:pStyle w:val="Heading2"/>
      </w:pPr>
      <w:r>
        <w:t>Passing on more than a job</w:t>
      </w:r>
    </w:p>
    <w:p>
      <w:r>
        <w:t>An experienced owner holds knowledge about customers, unusual problems, equipment and the judgement built over years. A funded transition may include paid mentoring while a capable team learns the responsibilities. Younger people gain access to an existing body of practical knowledge and, where the terms support it, an opportunity to become members or owners.</w:t>
      </w:r>
    </w:p>
    <w:p>
      <w:r>
        <w:t>Consider a repair business whose owner wants a different next chapter. Staff understand much of the work, but the owner still handles some quoting and supplier relationships. A viable handover would price the business, management, training, maintenance, obligations and working capital. AI might help organise selected operating knowledge or improve administration; robotics might assist a suitable task.</w:t>
      </w:r>
    </w:p>
    <w:p>
      <w:r>
        <w:t>The financial question is whether the business remains sound after those costs and responsibilities are properly recognised. A mutual purpose alone does not settle that question. The seller chooses their terms, and the new owners understand what they are taking on.</w:t>
      </w:r>
    </w:p>
    <w:p>
      <w:pPr>
        <w:pStyle w:val="Heading2"/>
      </w:pPr>
      <w:r>
        <w:t>Why it belongs in a child welfare proposal</w:t>
      </w:r>
    </w:p>
    <w:p>
      <w:r>
        <w:t>A young person leaving care may have had little access to people who own a business or productive equipment. A network of willing enterprises would offer encounters with trades, professions and leadership that are otherwise difficult to arrange. A first paid placement might develop into skilled work, a different placement, further study or a future ownership opportunity.</w:t>
      </w:r>
    </w:p>
    <w:p>
      <w:r>
        <w:t>There is a social connection between generations here. Experienced adults have a useful way to pass on knowledge and remain involved on chosen terms. Young adults meet people whose expertise, mistakes and relationships make the work understandable. The community may retain a service that would otherwise close.</w:t>
      </w:r>
    </w:p>
    <w:p>
      <w:pPr>
        <w:pStyle w:val="Heading2"/>
      </w:pPr>
      <w:r>
        <w:t>The benefits of automation</w:t>
      </w:r>
    </w:p>
    <w:p>
      <w:r>
        <w:t>If a business becomes more productive through AI or machinery, its owners and workers face choices about the result. More capacity might support better services, wages, training, reserves, improved equipment or funded time away. Shared ownership aims to give participants an informed role in those choices.</w:t>
      </w:r>
    </w:p>
    <w:p>
      <w:r>
        <w:t>The relevance to care is practical access to a more substantial future: earning an income, understanding productive assets, building relationships and participating in decisions. No C-Hour converts into a business share. Ownership and financial returns arise from the particular legal and financial arrangement.</w:t>
      </w:r>
    </w:p>
    <w:p>
      <w:pPr>
        <w:pStyle w:val="Heading1"/>
        <w:pageBreakBefore/>
      </w:pPr>
      <w:r>
        <w:t>Intermittent Retirement and time throughout life</w:t>
      </w:r>
    </w:p>
    <w:p>
      <w:r>
        <w:t>Intermittent Retirement means planned periods away from paid work throughout life. Someone may use that time for family, recovery, travel, study, creative work or rest, then return to an agreed role or begin another chapter. The intention is to make a rich life possible across adulthood. [P4, P7]</w:t>
      </w:r>
    </w:p>
    <w:p>
      <w:pPr>
        <w:pStyle w:val="Heading2"/>
      </w:pPr>
      <w:r>
        <w:t>An opportunity that has to be resourced</w:t>
      </w:r>
    </w:p>
    <w:p>
      <w:r>
        <w:t>A useful arrangement identifies income during the break, housing and living costs, staffing cover, employment conditions and the return or next step. The funding may involve an employer agreement, savings, enterprise arrangements or another documented source. The name itself creates no entitlement or funding.</w:t>
      </w:r>
    </w:p>
    <w:p>
      <w:r>
        <w:t>As productive capability increases, a community has an opportunity to ask how some gains might support time for people. A sound business might resource paid learning or planned leave. A network may help cover a role while a person studies or cares for family. The arrangement depends on actual capacity and fair terms for everyone affected.</w:t>
      </w:r>
    </w:p>
    <w:p>
      <w:pPr>
        <w:pStyle w:val="Heading2"/>
      </w:pPr>
      <w:r>
        <w:t>A different picture of adult life</w:t>
      </w:r>
    </w:p>
    <w:p>
      <w:r>
        <w:t>A young person growing through care may imagine adulthood as a hurried move from support into constant responsibility. A longer view includes the possibility of changing direction, developing another skill, spending time with loved ones and recovering from a difficult period. Preparing for that life includes learning how time, income, care and obligations fit together.</w:t>
      </w:r>
    </w:p>
    <w:p>
      <w:r>
        <w:t>The concept also matters to the adults surrounding the child. A mentor with funded time to teach, a carer with reliable relief and an experienced worker moving into a chosen part-time role each contributes to a more dependable community. Rest and continuity of care are linked through the arrangements that make them possible.</w:t>
      </w:r>
    </w:p>
    <w:p>
      <w:pPr>
        <w:pStyle w:val="Heading2"/>
      </w:pPr>
      <w:r>
        <w:t>Connection during a break</w:t>
      </w:r>
    </w:p>
    <w:p>
      <w:r>
        <w:t>Someone away from their ordinary work may enjoy helping at a community event, teaching a skill or joining a project in a place they visit. A personal Aura helps them find a relevant invitation and carry selected experience between settings. A C-Hour record may recognise any voluntary contribution they choose to make.</w:t>
      </w:r>
    </w:p>
    <w:p>
      <w:r>
        <w:t>Rest itself needs no contribution record. The reciprocity economy supports relationships through different periods of life, including times when a person needs more help than they offer. That flexibility is part of the social fabric the proposal seeks to strengthen.</w:t>
      </w:r>
    </w:p>
    <w:p>
      <w:r>
        <w:t>For a young adult, a realistic first step is understanding a manageable plan: a period of paid work and learning, the support available and a possible next chapter. Reflection helps them describe what they want. Legal and financial understanding helps them evaluate the arrangement. Trusted people help turn an attractive idea into a workable choice.</w:t>
      </w:r>
    </w:p>
    <w:p>
      <w:pPr>
        <w:pStyle w:val="Heading1"/>
        <w:pageBreakBefore/>
      </w:pPr>
      <w:r>
        <w:t>C Hours and a community reciprocity economy</w:t>
      </w:r>
    </w:p>
    <w:p>
      <w:r>
        <w:t>A Community-Hour, shortened to C-Hour, records one verified hour of voluntary human contribution. It belongs within a reciprocity economy: people contribute, recognise one another and create ways to share opportunities and resources. Each community chooses its own incentives. The hour has no monetary value or conversion rate. [P4]</w:t>
      </w:r>
    </w:p>
    <w:p>
      <w:pPr>
        <w:pStyle w:val="Heading2"/>
      </w:pPr>
      <w:r>
        <w:t>What a community might offer</w:t>
      </w:r>
    </w:p>
    <w:p>
      <w:r>
        <w:t>A community group may offer access to a gathering or workshop. A private host may invite contributors to an event. A maker space may offer use of equipment with the relevant training and supervision. A health cooperative may make places available in suitable Healthy De-Slop activities. The offer comes from that community or provider, with clear conditions and availability.</w:t>
      </w:r>
    </w:p>
    <w:p>
      <w:r>
        <w:t>These incentives give people reasons to meet, learn and participate. Their meaning may involve enjoyment, appreciation, access or belonging. The community decides how contribution relates to an invitation; there is no universal price list that turns hours into money. The costs of hosting, equipment and paid services remain in their ordinary financial accounts.</w:t>
      </w:r>
    </w:p>
    <w:p>
      <w:pPr>
        <w:pStyle w:val="Heading2"/>
      </w:pPr>
      <w:r>
        <w:t>Recognition that carries a useful story</w:t>
      </w:r>
    </w:p>
    <w:p>
      <w:r>
        <w:t>A contribution record identifies the person, activity, date, duration and verification, with a chosen audience and correction route. Shorter contributions count proportionately. One person's hour is counted once even when several projects benefit. An Aura would prepare the record through a conversation and selected activity details, asking for clarification where needed.</w:t>
      </w:r>
    </w:p>
    <w:p>
      <w:r>
        <w:t>A teen helps prepare accessible material for a community gathering. A host verifies the contribution. The teen may choose a private acknowledgement or a reviewed project summary. An invitation to a suitable event or access to equipment creates another encounter through which an interest grows. Their wider childhood record remains private.</w:t>
      </w:r>
    </w:p>
    <w:p>
      <w:pPr>
        <w:pStyle w:val="Heading2"/>
      </w:pPr>
      <w:r>
        <w:t>Strengthening the fabric of society</w:t>
      </w:r>
    </w:p>
    <w:p>
      <w:r>
        <w:t>The deeper purpose is the relationship that continues. Someone notices a contribution, welcomes the person back and introduces them to another useful opportunity. A learner becomes a capable contributor, later helps a newcomer and knows where to seek assistance when they need it. Resources circulate through trust and understandable agreements.</w:t>
      </w:r>
    </w:p>
    <w:p>
      <w:r>
        <w:t>For children and teens, participation remains age appropriate and voluntary. Ordinary care, education and essential support continue independently of hours contributed. Paid work retains its employment arrangements. A C-Hour is not a ranking of a person's worth or a requirement to earn their place in the community.</w:t>
      </w:r>
    </w:p>
    <w:p>
      <w:r>
        <w:t>The practical test is whether recognition and incentives improve relationships, access and shared capability. A larger total of hours alone does not establish that those things happened.</w:t>
      </w:r>
    </w:p>
    <w:p>
      <w:pPr>
        <w:pStyle w:val="Heading1"/>
        <w:pageBreakBefore/>
      </w:pPr>
      <w:r>
        <w:t>Healthy De Slop through shared everyday life</w:t>
      </w:r>
    </w:p>
    <w:p>
      <w:r>
        <w:t>Healthy De-Slop describes reducing what makes life needlessly wasteful, confusing or unhealthy, while making room for useful and enjoyable activity. The proposed Oceania Healthy De-Slop Co-ops connect food, wellbeing, information and community capability. It is one setting in which communities might offer their own reciprocity incentives. [P4]</w:t>
      </w:r>
    </w:p>
    <w:p>
      <w:pPr>
        <w:pStyle w:val="Heading2"/>
      </w:pPr>
      <w:r>
        <w:t>A shared meal as a beginning</w:t>
      </w:r>
    </w:p>
    <w:p>
      <w:r>
        <w:t>A garden, kitchen or gathering gives a young person an immediate way to take part. They learn what is growing, what food is available, how a meal is planned and what happens to surplus. An adult demonstrates the relevant food-handling knowledge. The learner asks questions, tries an appropriate task and enjoys the result with other people.</w:t>
      </w:r>
    </w:p>
    <w:p>
      <w:r>
        <w:t>The Aura concepts called Garden Mate, Kitchen Mate, Fermentation Mate and Event Mate describe assistance with these activities. A family or host chooses the useful function: recording an observation, finding an appropriate recipe, understanding preservation or organising an event. The information is checked against the actual ingredients, method and responsibilities.</w:t>
      </w:r>
    </w:p>
    <w:p>
      <w:pPr>
        <w:pStyle w:val="Heading2"/>
      </w:pPr>
      <w:r>
        <w:t>Reciprocity through an invitation</w:t>
      </w:r>
    </w:p>
    <w:p>
      <w:r>
        <w:t>A community might offer contributors a place at a private cooking event, a workshop, use of garden equipment or a suitable wellbeing activity. Another may arrange a shared meal or introduce a learner to a mentor. These are community choices about appreciation and access, with the relevant conditions explained.</w:t>
      </w:r>
    </w:p>
    <w:p>
      <w:r>
        <w:t>The benefit reaches both ways. The host gains help or a useful improvement; the young person gains an experience, a relationship and a reason to return. An experienced resident has an opportunity to teach. A newcomer has a way to join. This is how a contribution record may help strengthen social connections without assigning a dollar value to an hour.</w:t>
      </w:r>
    </w:p>
    <w:p>
      <w:pPr>
        <w:pStyle w:val="Heading2"/>
      </w:pPr>
      <w:r>
        <w:t>Wellbeing in context</w:t>
      </w:r>
    </w:p>
    <w:p>
      <w:r>
        <w:t>Food, movement, creative expression, reflection and practical help offer accessible places to begin. A young person may discover pleasure in cooking, understand a household routine or feel more comfortable asking someone for help. Those experiences have value even before any wider health outcome is investigated.</w:t>
      </w:r>
    </w:p>
    <w:p>
      <w:r>
        <w:t>The broader Healthy De-Slop proposals include specialist health services and research. Their clinical eligibility, evidence, consent and funding arrangements remain specific to those services. This child and teen pathway uses Verse Box and everyday learning in place of HBOT. It does not prescribe the adult health protocols described in the wider planning papers.</w:t>
      </w:r>
    </w:p>
    <w:p>
      <w:r>
        <w:t>A care service may therefore begin with an ordinary, welcoming activity whose contribution to daily life is visible. The record preserves what helped, what was learned and which opportunity the young person wants next.</w:t>
      </w:r>
    </w:p>
    <w:p>
      <w:pPr>
        <w:pStyle w:val="Heading1"/>
        <w:pageBreakBefore/>
      </w:pPr>
      <w:r>
        <w:t>Brisbane 2032 as a shared learning horizon</w:t>
      </w:r>
    </w:p>
    <w:p>
      <w:r>
        <w:t>The Brisbane 2032 Olympic and Paralympic Games offer a large, visible occasion around which learning, creativity and civic participation might develop. The proposal is to help people prepare through their personal Auras and local projects, then preserve the relationships and capability beyond the event. [P8-P9]</w:t>
      </w:r>
    </w:p>
    <w:p>
      <w:pPr>
        <w:pStyle w:val="Heading2"/>
      </w:pPr>
      <w:r>
        <w:t>Beginning well before the Games</w:t>
      </w:r>
    </w:p>
    <w:p>
      <w:r>
        <w:t>A community does not need to wait for formal Games recruitment to host useful activities. Local arts, sport, accessible events, visitor information, environmental projects and digital help offer real settings for learning. A young person chooses an interest and works with a suitable mentor. Their Aura helps organise sources, preparation, feedback and the result.</w:t>
      </w:r>
    </w:p>
    <w:p>
      <w:r>
        <w:t>Over several years, an initial activity may develop into paid work, recognised training, a more substantial project or a volunteering interest. A learner who begins with sound production might help at a local event, develop reliable technical skills and later explore opportunities connected with a larger occasion. Another may grow through languages, making, accessibility or community science.</w:t>
      </w:r>
    </w:p>
    <w:p>
      <w:pPr>
        <w:pStyle w:val="Heading2"/>
      </w:pPr>
      <w:r>
        <w:t>Participation that fits the person</w:t>
      </w:r>
    </w:p>
    <w:p>
      <w:r>
        <w:t>Children and teens are at different ages and circumstances as 2032 approaches. Local participation follows the actual activity and safeguarding arrangements. Any later Games role follows the organiser's age, selection and training conditions. The current Brisbane 2032 volunteer information states that its programme will be released after the LA 2028 Games. The proposed Aura pathway is preparation and community development, not an official recruitment commitment. [S9]</w:t>
      </w:r>
    </w:p>
    <w:p>
      <w:r>
        <w:t>A person who does not seek a Games role still benefits from a useful project, a mentor and skills that matter elsewhere. The Olympic horizon brings shared energy and a reason to coordinate. Its value is strongest when the local experience also serves a purpose of its own.</w:t>
      </w:r>
    </w:p>
    <w:p>
      <w:pPr>
        <w:pStyle w:val="Heading2"/>
      </w:pPr>
      <w:r>
        <w:t>What the Aura contributes</w:t>
      </w:r>
    </w:p>
    <w:p>
      <w:r>
        <w:t>A learner may ask for an explanation suited to their experience, rehearse a task, compare instructions, find a source or preserve feedback from a supervisor. They choose which evidence of learning to share with a host. A host sees information relevant to a role, with actual competence and support assessed through the appropriate process.</w:t>
      </w:r>
    </w:p>
    <w:p>
      <w:r>
        <w:t>C-Hours recognise verified voluntary contributions where a community adopts them. Communities and private hosts may create suitable incentives around events, equipment, learning or wellbeing. Paid employment, contracted delivery and the costs of volunteering have their own arrangements. No participation record promises selection for an official Games role.</w:t>
      </w:r>
    </w:p>
    <w:p>
      <w:r>
        <w:t>For young people growing through care or adoption, the opportunity is a supported place in a shared public occasion, connected with a future that extends beyond their immediate service setting.</w:t>
      </w:r>
    </w:p>
    <w:p>
      <w:pPr>
        <w:pStyle w:val="Heading1"/>
        <w:pageBreakBefore/>
      </w:pPr>
      <w:r>
        <w:t>A lasting civic volunteer network</w:t>
      </w:r>
    </w:p>
    <w:p>
      <w:r>
        <w:t>A major event brings people together around a demanding shared purpose. Training, practical knowledge, friendships and the confidence to offer help may remain useful long afterwards. The Olympic civic proposal asks how those relationships might continue through voluntary participation rather than disappearing when an event ends. [P8-P9]</w:t>
      </w:r>
    </w:p>
    <w:p>
      <w:pPr>
        <w:pStyle w:val="Heading2"/>
      </w:pPr>
      <w:r>
        <w:t>Before during and after</w:t>
      </w:r>
    </w:p>
    <w:p>
      <w:r>
        <w:t>Before the Games, local hosts develop worthwhile projects and supported learning opportunities. During the Games period, eligible participants may join official roles or related community activities under their respective arrangements. Afterwards, those who wish to continue receive invitations connected to their interests and the work communities actually need.</w:t>
      </w:r>
    </w:p>
    <w:p>
      <w:r>
        <w:t>A person who enjoyed assisting at an accessible event might help another local gathering. Someone who learned media production may join a community documentary. A learner interested in ecology may continue observing a garden or waterway. Mentors and hosts carry their relationships into the next activity on agreed terms.</w:t>
      </w:r>
    </w:p>
    <w:p>
      <w:pPr>
        <w:pStyle w:val="Heading2"/>
      </w:pPr>
      <w:r>
        <w:t>Continuity through the personal Aura</w:t>
      </w:r>
    </w:p>
    <w:p>
      <w:r>
        <w:t>The Aura would preserve selected learning, sources, contributions and feedback so someone has a way to return after a break or move. A contributor chooses a suitable account to share with a new host. The host explains the task, support, permissions and whether the opportunity is paid, voluntary or a learning activity.</w:t>
      </w:r>
    </w:p>
    <w:p>
      <w:r>
        <w:t>The network grows through useful encounters. Communities identify what they need, offer opportunities and decide how to recognise contributions. A private venue may offer event access; a cooperative may offer suitable equipment or a workshop; a Healthy De-Slop host may offer a welcoming activity. A C-Hour record helps tell the contribution's story without determining a monetary exchange.</w:t>
      </w:r>
    </w:p>
    <w:p>
      <w:pPr>
        <w:pStyle w:val="Heading2"/>
      </w:pPr>
      <w:r>
        <w:t>A continuing place for young adults</w:t>
      </w:r>
    </w:p>
    <w:p>
      <w:r>
        <w:t>A young adult who has grown through care may stay connected with people first met through a local project. They may find further learning, a colleague, a paid placement or a group that knows them when they need support. The network's usefulness lies in those actual relationships and opportunities.</w:t>
      </w:r>
    </w:p>
    <w:p>
      <w:r>
        <w:t>The same person might later mentor a teen, participate in a Mutual Futures enterprise or take a funded period away from paid work. Their contribution to community life changes with their circumstances. Participation remains a choice throughout, and leaving an event role creates no continuing service obligation.</w:t>
      </w:r>
    </w:p>
    <w:p>
      <w:r>
        <w:t>A lasting civic volunteer network would also help communities understand their capacity: which hosts remain active, what knowledge needs teaching, which equipment is available and where an appropriate adult holds responsibility. The shared view contains approved project information. Private reflections and care histories stay within their own access arrangements.</w:t>
      </w:r>
    </w:p>
    <w:p>
      <w:r>
        <w:t>The Olympic legacy proposed here is continuing human capability: more people with the knowledge, relationships and resources to take useful care of one another and their places.</w:t>
      </w:r>
    </w:p>
    <w:p>
      <w:pPr>
        <w:pStyle w:val="Heading1"/>
        <w:pageBreakBefore/>
      </w:pPr>
      <w:r>
        <w:t>From local projects to future Earth and space</w:t>
      </w:r>
    </w:p>
    <w:p>
      <w:r>
        <w:t>The wider Aura work reaches towards environmental regeneration, advanced intelligence, future habitats and scientific inquiry across Earth and the solar system. Australia's Olympic Space Gambit connects that horizon with the question of a lasting, adaptable civic workforce. In a child welfare setting, the horizon offers a field for curiosity and development. [P2, P9]</w:t>
      </w:r>
    </w:p>
    <w:p>
      <w:pPr>
        <w:pStyle w:val="Heading2"/>
      </w:pPr>
      <w:r>
        <w:t>A demanding interest with a grounded beginning</w:t>
      </w:r>
    </w:p>
    <w:p>
      <w:r>
        <w:t>A young learner interested in space may begin by designing a habitat in a game. The questions quickly become recognisable: where water comes from, how food is grown, what privacy means, who repairs equipment and how people make decisions together. The same questions return in homes, communities and care services.</w:t>
      </w:r>
    </w:p>
    <w:p>
      <w:r>
        <w:t>An older learner may investigate a scientific instrument, work with a public dataset or compare alternative designs. Their Aura helps retain the question, source, assumptions, calculations and corrections. An experienced person reviews the work and identifies the knowledge needed for a more demanding next step.</w:t>
      </w:r>
    </w:p>
    <w:p>
      <w:pPr>
        <w:pStyle w:val="Heading2"/>
      </w:pPr>
      <w:r>
        <w:t>Stewardship as a broad capability</w:t>
      </w:r>
    </w:p>
    <w:p>
      <w:r>
        <w:t>Civic stewardship connects technical knowledge with the people affected by its use. A good design considers access, culture, maintenance, resource demands, care and enjoyment. A model of a beautiful future place becomes more useful when its inhabitants have a believable way to live there.</w:t>
      </w:r>
    </w:p>
    <w:p>
      <w:r>
        <w:t>This is the deeper purpose of developing broadly capable people. A person may become a scientist, artist, technician, teacher, carer, entrepreneur or thoughtful participant in public life. They may combine several of those roles. Their education gives them ways to understand systems, create possibilities and accept responsibility for actual consequences.</w:t>
      </w:r>
    </w:p>
    <w:p>
      <w:pPr>
        <w:pStyle w:val="Heading2"/>
      </w:pPr>
      <w:r>
        <w:t>A Protopian Gambit at a human scale</w:t>
      </w:r>
    </w:p>
    <w:p>
      <w:r>
        <w:t>A large ambition gains practical meaning through a first result that someone understands and uses. A habitat project may produce a better garden plan. A communication question may improve a local information display. A creative performance may help a newcomer understand an unfamiliar idea. The next question grows from what happened.</w:t>
      </w:r>
    </w:p>
    <w:p>
      <w:r>
        <w:t>General and superintelligence give that work a further research direction: how increasingly capable Auras learn, cooperate and help improve the methods through which they operate. The learner examines a specific capability and its evidence before relying on a broader claim. Imagination remains welcome alongside a disciplined account of what is known.</w:t>
      </w:r>
    </w:p>
    <w:p>
      <w:r>
        <w:t>A child's care experience does not define the scale of their future interests. The proposal offers support for those interests to acquire substance, with room for wonder, useful work and a life they choose. An ambitious future becomes something they have begun to investigate, rather than something presented to them as already decided.</w:t>
      </w:r>
    </w:p>
    <w:p>
      <w:pPr>
        <w:pStyle w:val="Heading1"/>
        <w:pageBreakBefore/>
      </w:pPr>
      <w:r>
        <w:t>Adults relationships and personal control</w:t>
      </w:r>
    </w:p>
    <w:p>
      <w:r>
        <w:t>The learning relationship depends on adults who listen, respond and remain accountable. A useful personal record has little effect if nobody follows through on the young person's question or helps arrange the next opportunity. Care providers, carers, adoptive families, educators and mentors each retain the responsibilities relevant to their role.</w:t>
      </w:r>
    </w:p>
    <w:p>
      <w:pPr>
        <w:pStyle w:val="Heading2"/>
      </w:pPr>
      <w:r>
        <w:t>A supported choice</w:t>
      </w:r>
    </w:p>
    <w:p>
      <w:r>
        <w:t>The young person receives an understandable explanation of an activity, the information involved and available alternatives. They have a practical way to pause, correct something or leave. A request for help reaches a named adult or an independent route where appropriate. Ordinary care, schooling and family arrangements do not depend on completing the programme.</w:t>
      </w:r>
    </w:p>
    <w:p>
      <w:r>
        <w:t>Legal authority for decisions follows the actual law and care arrangements. The young person's own understanding and decision-making capacity are considered for the particular decision. OAIC guidance does not set one universal age for making a privacy decision. Agreement to learning, recording, model training, research and publication concerns different purposes. [S10]</w:t>
      </w:r>
    </w:p>
    <w:p>
      <w:pPr>
        <w:pStyle w:val="Heading2"/>
      </w:pPr>
      <w:r>
        <w:t>Public private and secret selves</w:t>
      </w:r>
    </w:p>
    <w:p>
      <w:r>
        <w:t>Aura uses public, private and secret views to organise information and expression. A young person may choose to share an artwork while keeping the personal experience behind it private. A sensitive account receives the agreed protection. The service explains actual access, key holders, legal limits and recovery rather than promising secrecy that its arrangement does not provide. [P1]</w:t>
      </w:r>
    </w:p>
    <w:p>
      <w:r>
        <w:t>A change of carer, adoption arrangement or device prompts a review of access and continuity. Official care records keep their statutory purpose and retention rules. The personal Aura holds chosen work and meaning under its stated arrangement. A correction to the working account remains traceable, with any required changes to official records handled through their own process.</w:t>
      </w:r>
    </w:p>
    <w:p>
      <w:pPr>
        <w:pStyle w:val="Heading2"/>
      </w:pPr>
      <w:r>
        <w:t>Care in the actual setting</w:t>
      </w:r>
    </w:p>
    <w:p>
      <w:r>
        <w:t>The host applies relevant child-safe requirements, worker screening, supervision, privacy and reporting duties. If harm is disclosed, an adult responds through the real safeguarding process. The AI does not investigate a child or decide whether a concern is credible. Appropriate clinical and therapeutic care has its own qualified practitioners. [S11-S12]</w:t>
      </w:r>
    </w:p>
    <w:p>
      <w:r>
        <w:t>eSafety identifies risks in AI companions, including harmful material and dependency. The selected system therefore presents itself honestly as software, avoids exclusive or secret relationship demands and supports contact with real people. The review examines what actually happens when a child asks for help or a conversation becomes inappropriate. [S13]</w:t>
      </w:r>
    </w:p>
    <w:p>
      <w:r>
        <w:t>The practical benefit of control is confidence in participation. A young person understands what is happening, knows which choices are theirs and has someone accountable to turn to when the arrangement falls short.</w:t>
      </w:r>
    </w:p>
    <w:p>
      <w:pPr>
        <w:pStyle w:val="Heading1"/>
        <w:pageBreakBefore/>
      </w:pPr>
      <w:r>
        <w:t>Starting through care services and adoptive families</w:t>
      </w:r>
    </w:p>
    <w:p>
      <w:r>
        <w:t>A first pilot begins with a willing service, appropriate cultural and legal partners, young people and supportive adults. They identify a real opportunity for improvement: continuity of a chosen project, understanding a care-related decision, access to a mentor or a more useful transition into community learning.</w:t>
      </w:r>
    </w:p>
    <w:p>
      <w:pPr>
        <w:pStyle w:val="Heading2"/>
      </w:pPr>
      <w:r>
        <w:t>Making the invitation concrete</w:t>
      </w:r>
    </w:p>
    <w:p>
      <w:r>
        <w:t>The host explains the activities, people involved, equipment, location, recording choices and support. Young people with lived experience of care or adoption help shape the language and practical arrangements. The invitation describes something understandable to try and a way to decline without losing other support.</w:t>
      </w:r>
    </w:p>
    <w:p>
      <w:r>
        <w:t>Adults practise the proposed activity using example information. They demonstrate a correction, check a legal source, restore a saved project and end a shared-station session. These checks establish whether the equipment and support are dependable enough for the intended use. The first learner then begins with a chosen interest and an achievable result.</w:t>
      </w:r>
    </w:p>
    <w:p>
      <w:pPr>
        <w:pStyle w:val="Heading2"/>
      </w:pPr>
      <w:r>
        <w:t>Resourcing the human work</w:t>
      </w:r>
    </w:p>
    <w:p>
      <w:r>
        <w:t>The plan identifies staff and mentor time, cultural participation, legal review, accessibility, equipment, transport, software, storage, maintenance and evaluation. A suitable refurbished computer may meet part of the need; a trained adult and reliable follow-through remain essential. Funding comes from documented service, grant, enterprise or other lawful arrangements. C-Hour recognition and community incentives are described alongside those costs, without replacing the budget.</w:t>
      </w:r>
    </w:p>
    <w:p>
      <w:r>
        <w:t>The programme connects its learning activities with existing care and transition plans only to the agreed extent. A child's private reflection does not become a routine report for every stakeholder. The host records who responds to questions, how complaints are handled and what happens if the activity ends or a family moves.</w:t>
      </w:r>
    </w:p>
    <w:p>
      <w:pPr>
        <w:pStyle w:val="Heading2"/>
      </w:pPr>
      <w:r>
        <w:t>Brief school pilots</w:t>
      </w:r>
    </w:p>
    <w:p>
      <w:r>
        <w:t>A small number of school pilots would explore selected activities such as creative projects, source checking, civics or understanding AI through a practical task. Teachers choose the curriculum connection and review learning. Participation is offered without identifying pupils by care or adoption history, and school material remains separate from private reflections. The Australian Framework for Generative AI in Schools provides relevant guidance, alongside the school system's actual approval, privacy, age and consent requirements. [S14]</w:t>
      </w:r>
    </w:p>
    <w:p>
      <w:r>
        <w:t>Care-service and school experiences may then inform one another through approved teaching material and findings. The child chooses suitable work to carry between settings. The pilot grows only where the evidence, people and resources support a useful next step.</w:t>
      </w:r>
    </w:p>
    <w:p>
      <w:pPr>
        <w:pStyle w:val="Heading1"/>
        <w:pageBreakBefore/>
      </w:pPr>
      <w:r>
        <w:t>Judging whether lives are improving</w:t>
      </w:r>
    </w:p>
    <w:p>
      <w:r>
        <w:t>The proposal offers reasons to investigate benefits, rather than evidence that the whole approach already produces them. Evaluation follows what matters in the young person's life and whether the experience made a useful difference. Their own account remains central alongside observed tasks and the experience of adults and hosts.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0" w:type="dxa"/>
          <w:right w:w="100" w:type="dxa"/>
        </w:tblCellMar>
      </w:tblPr>
      <w:tblGrid>
        <w:gridCol w:w="2333"/>
        <w:gridCol w:w="7661"/>
      </w:tblGrid>
      <w:tr>
        <w:trPr>
          <w:cantSplit/>
          <w:tblHeader/>
        </w:trPr>
        <w:tc>
          <w:tcPr>
            <w:tcW w:type="dxa" w:w="2333"/>
            <w:vAlign w:val="center"/>
            <w:shd w:fill="333B42"/>
          </w:tcPr>
          <w:p>
            <w:pPr>
              <w:spacing w:after="0" w:before="0" w:line="250" w:lineRule="auto"/>
            </w:pPr>
            <w:r>
              <w:rPr>
                <w:b/>
                <w:color w:val="FFFFFF"/>
                <w:sz w:val="21"/>
              </w:rPr>
              <w:t>Benefit sought</w:t>
            </w:r>
          </w:p>
        </w:tc>
        <w:tc>
          <w:tcPr>
            <w:tcW w:type="dxa" w:w="7661"/>
            <w:vAlign w:val="center"/>
            <w:shd w:fill="333B42"/>
          </w:tcPr>
          <w:p>
            <w:pPr>
              <w:spacing w:after="0" w:before="0" w:line="250" w:lineRule="auto"/>
            </w:pPr>
            <w:r>
              <w:rPr>
                <w:b/>
                <w:color w:val="FFFFFF"/>
                <w:sz w:val="21"/>
              </w:rPr>
              <w:t>Evidence to examine</w:t>
            </w:r>
          </w:p>
        </w:tc>
      </w:tr>
      <w:tr>
        <w:trPr>
          <w:cantSplit/>
        </w:trPr>
        <w:tc>
          <w:tcPr>
            <w:tcW w:type="dxa" w:w="2333"/>
            <w:vAlign w:val="center"/>
            <w:shd w:fill="FFFFFF"/>
          </w:tcPr>
          <w:p>
            <w:pPr>
              <w:spacing w:after="0" w:before="0" w:line="250" w:lineRule="auto"/>
            </w:pPr>
            <w:r>
              <w:rPr>
                <w:b w:val="0"/>
                <w:color w:val="000000"/>
                <w:sz w:val="21"/>
              </w:rPr>
              <w:t>A stronger voice</w:t>
            </w:r>
          </w:p>
        </w:tc>
        <w:tc>
          <w:tcPr>
            <w:tcW w:type="dxa" w:w="7661"/>
            <w:vAlign w:val="center"/>
            <w:shd w:fill="FFFFFF"/>
          </w:tcPr>
          <w:p>
            <w:pPr>
              <w:spacing w:after="0" w:before="0" w:line="250" w:lineRule="auto"/>
            </w:pPr>
            <w:r>
              <w:rPr>
                <w:b w:val="0"/>
                <w:color w:val="000000"/>
                <w:sz w:val="21"/>
              </w:rPr>
              <w:t>The learner understands a decision, expresses a view and sees how the responsible person responds.</w:t>
            </w:r>
          </w:p>
        </w:tc>
      </w:tr>
      <w:tr>
        <w:trPr>
          <w:cantSplit/>
        </w:trPr>
        <w:tc>
          <w:tcPr>
            <w:tcW w:type="dxa" w:w="2333"/>
            <w:vAlign w:val="center"/>
            <w:shd w:fill="F2F4F5"/>
          </w:tcPr>
          <w:p>
            <w:pPr>
              <w:spacing w:after="0" w:before="0" w:line="250" w:lineRule="auto"/>
            </w:pPr>
            <w:r>
              <w:rPr>
                <w:b w:val="0"/>
                <w:color w:val="000000"/>
                <w:sz w:val="21"/>
              </w:rPr>
              <w:t>Continuity and self understanding</w:t>
            </w:r>
          </w:p>
        </w:tc>
        <w:tc>
          <w:tcPr>
            <w:tcW w:type="dxa" w:w="7661"/>
            <w:vAlign w:val="center"/>
            <w:shd w:fill="F2F4F5"/>
          </w:tcPr>
          <w:p>
            <w:pPr>
              <w:spacing w:after="0" w:before="0" w:line="250" w:lineRule="auto"/>
            </w:pPr>
            <w:r>
              <w:rPr>
                <w:b w:val="0"/>
                <w:color w:val="000000"/>
                <w:sz w:val="21"/>
              </w:rPr>
              <w:t>Chosen work is found again, a summary is corrected and a later encounter reflects what the learner explained.</w:t>
            </w:r>
          </w:p>
        </w:tc>
      </w:tr>
      <w:tr>
        <w:trPr>
          <w:cantSplit/>
        </w:trPr>
        <w:tc>
          <w:tcPr>
            <w:tcW w:type="dxa" w:w="2333"/>
            <w:vAlign w:val="center"/>
            <w:shd w:fill="FFFFFF"/>
          </w:tcPr>
          <w:p>
            <w:pPr>
              <w:spacing w:after="0" w:before="0" w:line="250" w:lineRule="auto"/>
            </w:pPr>
            <w:r>
              <w:rPr>
                <w:b w:val="0"/>
                <w:color w:val="000000"/>
                <w:sz w:val="21"/>
              </w:rPr>
              <w:t>Growing knowledge and judgement</w:t>
            </w:r>
          </w:p>
        </w:tc>
        <w:tc>
          <w:tcPr>
            <w:tcW w:type="dxa" w:w="7661"/>
            <w:vAlign w:val="center"/>
            <w:shd w:fill="FFFFFF"/>
          </w:tcPr>
          <w:p>
            <w:pPr>
              <w:spacing w:after="0" w:before="0" w:line="250" w:lineRule="auto"/>
            </w:pPr>
            <w:r>
              <w:rPr>
                <w:b w:val="0"/>
                <w:color w:val="000000"/>
                <w:sz w:val="21"/>
              </w:rPr>
              <w:t>The learner follows a source, explains a result and applies something learned in a changed situation.</w:t>
            </w:r>
          </w:p>
        </w:tc>
      </w:tr>
      <w:tr>
        <w:trPr>
          <w:cantSplit/>
        </w:trPr>
        <w:tc>
          <w:tcPr>
            <w:tcW w:type="dxa" w:w="2333"/>
            <w:vAlign w:val="center"/>
            <w:shd w:fill="F2F4F5"/>
          </w:tcPr>
          <w:p>
            <w:pPr>
              <w:spacing w:after="0" w:before="0" w:line="250" w:lineRule="auto"/>
            </w:pPr>
            <w:r>
              <w:rPr>
                <w:b w:val="0"/>
                <w:color w:val="000000"/>
                <w:sz w:val="21"/>
              </w:rPr>
              <w:t>Real opportunities</w:t>
            </w:r>
          </w:p>
        </w:tc>
        <w:tc>
          <w:tcPr>
            <w:tcW w:type="dxa" w:w="7661"/>
            <w:vAlign w:val="center"/>
            <w:shd w:fill="F2F4F5"/>
          </w:tcPr>
          <w:p>
            <w:pPr>
              <w:spacing w:after="0" w:before="0" w:line="250" w:lineRule="auto"/>
            </w:pPr>
            <w:r>
              <w:rPr>
                <w:b w:val="0"/>
                <w:color w:val="000000"/>
                <w:sz w:val="21"/>
              </w:rPr>
              <w:t>A mentor, placement, equipment invitation or suitable event actually becomes available and useful.</w:t>
            </w:r>
          </w:p>
        </w:tc>
      </w:tr>
      <w:tr>
        <w:trPr>
          <w:cantSplit/>
        </w:trPr>
        <w:tc>
          <w:tcPr>
            <w:tcW w:type="dxa" w:w="2333"/>
            <w:vAlign w:val="center"/>
            <w:shd w:fill="FFFFFF"/>
          </w:tcPr>
          <w:p>
            <w:pPr>
              <w:spacing w:after="0" w:before="0" w:line="250" w:lineRule="auto"/>
            </w:pPr>
            <w:r>
              <w:rPr>
                <w:b w:val="0"/>
                <w:color w:val="000000"/>
                <w:sz w:val="21"/>
              </w:rPr>
              <w:t>A stronger social fabric</w:t>
            </w:r>
          </w:p>
        </w:tc>
        <w:tc>
          <w:tcPr>
            <w:tcW w:type="dxa" w:w="7661"/>
            <w:vAlign w:val="center"/>
            <w:shd w:fill="FFFFFF"/>
          </w:tcPr>
          <w:p>
            <w:pPr>
              <w:spacing w:after="0" w:before="0" w:line="250" w:lineRule="auto"/>
            </w:pPr>
            <w:r>
              <w:rPr>
                <w:b w:val="0"/>
                <w:color w:val="000000"/>
                <w:sz w:val="21"/>
              </w:rPr>
              <w:t>Relationships continue, newcomers are welcomed and contributors also know where to seek support.</w:t>
            </w:r>
          </w:p>
        </w:tc>
      </w:tr>
      <w:tr>
        <w:trPr>
          <w:cantSplit/>
        </w:trPr>
        <w:tc>
          <w:tcPr>
            <w:tcW w:type="dxa" w:w="2333"/>
            <w:vAlign w:val="center"/>
            <w:shd w:fill="F2F4F5"/>
          </w:tcPr>
          <w:p>
            <w:pPr>
              <w:spacing w:after="0" w:before="0" w:line="250" w:lineRule="auto"/>
            </w:pPr>
            <w:r>
              <w:rPr>
                <w:b w:val="0"/>
                <w:color w:val="000000"/>
                <w:sz w:val="21"/>
              </w:rPr>
              <w:t>A supported transition into adulthood</w:t>
            </w:r>
          </w:p>
        </w:tc>
        <w:tc>
          <w:tcPr>
            <w:tcW w:type="dxa" w:w="7661"/>
            <w:vAlign w:val="center"/>
            <w:shd w:fill="F2F4F5"/>
          </w:tcPr>
          <w:p>
            <w:pPr>
              <w:spacing w:after="0" w:before="0" w:line="250" w:lineRule="auto"/>
            </w:pPr>
            <w:r>
              <w:rPr>
                <w:b w:val="0"/>
                <w:color w:val="000000"/>
                <w:sz w:val="21"/>
              </w:rPr>
              <w:t>Learning connects with actual housing, income, relationships, care and the next chosen opportunity.</w:t>
            </w:r>
          </w:p>
        </w:tc>
      </w:tr>
    </w:tbl>
    <w:p>
      <w:pPr>
        <w:spacing w:after="0"/>
      </w:pPr>
    </w:p>
    <w:p>
      <w:pPr>
        <w:pStyle w:val="Heading2"/>
      </w:pPr>
      <w:r>
        <w:t>Experience that changes the proposal</w:t>
      </w:r>
    </w:p>
    <w:p>
      <w:r>
        <w:t>A young person may find the conversation intrusive, the tool frustrating or the promised opportunity unavailable. A host may discover that the activity needs more staff time than planned. Those findings change the programme. The review includes people who leave and tasks that fail, together with any incident or unintended burden.</w:t>
      </w:r>
    </w:p>
    <w:p>
      <w:r>
        <w:t>The host checks whether technology adds useful contact or displaces it, whether legal explanations match checked sources and whether information stays within its stated audience. A serious problem prompts appropriate action and a review before the affected function is used again. Research involving children follows the relevant ethical review and consent arrangements; an educational setting does not settle that assessment by itself. [S15]</w:t>
      </w:r>
    </w:p>
    <w:p>
      <w:pPr>
        <w:pStyle w:val="Heading2"/>
      </w:pPr>
      <w:r>
        <w:t>An improvement with somewhere to go</w:t>
      </w:r>
    </w:p>
    <w:p>
      <w:r>
        <w:t>The first successful result may be modest and personally important. A child completes a game, finds a welcoming mentor and understands a question about their rights. That experience gives the next activity a better starting point. Across many such encounters, care services and communities discover which connections are worth sustaining.</w:t>
      </w:r>
    </w:p>
    <w:p>
      <w:r>
        <w:t>The intended direction remains substantial: children growing into adults who understand themselves, know how to investigate the rules around them and participate in the benefits and responsibilities of increasingly powerful intelligence. Their next step is chosen through a real relationship, with something useful available to do.</w:t>
      </w:r>
    </w:p>
    <w:p>
      <w:pPr>
        <w:pStyle w:val="Heading1"/>
        <w:pageBreakBefore/>
      </w:pPr>
      <w:r>
        <w:t>Project reading and development sources</w:t>
      </w:r>
    </w:p>
    <w:p>
      <w:r>
        <w:t>The references below distinguish the Aura proposals from the independent guidance used for Australian care, privacy, education and research. The preceding narrative brings the proposals together around childhood and the transition into adult life. Suggested benefits remain questions for practical evaluation.</w:t>
      </w:r>
    </w:p>
    <w:p>
      <w:pPr>
        <w:keepNext/>
        <w:spacing w:before="120" w:after="60"/>
      </w:pPr>
      <w:r>
        <w:rPr>
          <w:b/>
          <w:sz w:val="21"/>
        </w:rPr>
        <w:t>P1  Verse Box Trial Proposal Version 1 Corrected</w:t>
      </w:r>
    </w:p>
    <w:p>
      <w:pPr>
        <w:keepNext/>
        <w:spacing w:after="120"/>
      </w:pPr>
      <w:r>
        <w:rPr>
          <w:sz w:val="20"/>
        </w:rPr>
        <w:t>Luke Nathan Hayes, 19 October 2026. The supported computing station, personal Aura, access to learning tools and proposed trial arrangements. Supplied PDF and associated Personal Aura page.</w:t>
      </w:r>
    </w:p>
    <w:p>
      <w:pPr>
        <w:spacing w:after="140"/>
      </w:pPr>
      <w:hyperlink r:id="rId10">
        <w:r>
          <w:rPr>
            <w:color w:val="205A75"/>
            <w:u w:val="single"/>
          </w:rPr>
          <w:t>Open source</w:t>
        </w:r>
      </w:hyperlink>
    </w:p>
    <w:p>
      <w:pPr>
        <w:keepNext/>
        <w:spacing w:before="120" w:after="60"/>
      </w:pPr>
      <w:r>
        <w:rPr>
          <w:b/>
          <w:sz w:val="21"/>
        </w:rPr>
        <w:t>P2  Aura Teacher Training 60 Days</w:t>
      </w:r>
    </w:p>
    <w:p>
      <w:pPr>
        <w:spacing w:after="120"/>
      </w:pPr>
      <w:r>
        <w:rPr>
          <w:sz w:val="20"/>
        </w:rPr>
        <w:t>Luke Nathan Hayes, 14 October 2026. Supplied PDF, Aura_Teacher_Training_60_Days(3).pdf. Reflection, memory, reasoning, practical functions, simulations, social learning and broader civic and scientific inquiry. Used as an adult facilitator development source; the sixty-day structure is not a child participation requirement.</w:t>
      </w:r>
    </w:p>
    <w:p>
      <w:pPr>
        <w:keepNext/>
        <w:spacing w:before="120" w:after="60"/>
      </w:pPr>
      <w:r>
        <w:rPr>
          <w:b/>
          <w:sz w:val="21"/>
        </w:rPr>
        <w:t>P3  Aura Genesis Protocol Game Design Document</w:t>
      </w:r>
    </w:p>
    <w:p>
      <w:pPr>
        <w:spacing w:after="120"/>
      </w:pPr>
      <w:r>
        <w:rPr>
          <w:sz w:val="20"/>
        </w:rPr>
        <w:t>Luke Nathan Hayes, edition 2, 13 October 2026. Supplied PDF, Aura_Genesis_Protocol_Game_Design_Document(2).pdf. Adult Genesis design, personal reflection and Truth Engine research. The adult design uses HBOT; this proposal uses Verse Box for children and teens.</w:t>
      </w:r>
    </w:p>
    <w:p>
      <w:pPr>
        <w:keepNext/>
        <w:spacing w:before="120" w:after="60"/>
      </w:pPr>
      <w:r>
        <w:rPr>
          <w:b/>
          <w:sz w:val="21"/>
        </w:rPr>
        <w:t>P4  C Hour Joyful Responsible Abundance Plan</w:t>
      </w:r>
    </w:p>
    <w:p>
      <w:pPr>
        <w:spacing w:after="120"/>
      </w:pPr>
      <w:r>
        <w:rPr>
          <w:sz w:val="20"/>
        </w:rPr>
        <w:t>Luke Nathan Hayes, planning version 5, 23 September 2026. Supplied PDF, C-Hour-Joyful-Responsible-Abundance-Plan(10).pdf. In particular, reciprocity and community incentives, pages 9 to 14; Mutual Futures, Try Everything and Intermittent Retirement, pages 19 to 21. The author's clarification of 25 October 2026 governs this document: communities choose incentives; C-Hours have no monetary value.</w:t>
      </w:r>
    </w:p>
    <w:p>
      <w:pPr>
        <w:keepNext/>
        <w:spacing w:before="120" w:after="60"/>
      </w:pPr>
      <w:r>
        <w:rPr>
          <w:b/>
          <w:sz w:val="21"/>
        </w:rPr>
        <w:t>P5  Joyful Responsible Abundance Human and SI Alignment</w:t>
      </w:r>
    </w:p>
    <w:p>
      <w:pPr>
        <w:spacing w:after="120"/>
      </w:pPr>
      <w:r>
        <w:rPr>
          <w:sz w:val="20"/>
        </w:rPr>
        <w:t>Luke Nathan Hayes, revised 11 October 2026. Supplied PDF, Joyful_Responsible_Abundance_Human_and_SI_Alignment_Revised(6).pdf. Social purpose, human development, increasingly capable intelligence and the Protopian direction of the work.</w:t>
      </w:r>
    </w:p>
    <w:p>
      <w:pPr>
        <w:pStyle w:val="Heading1"/>
        <w:pageBreakBefore/>
      </w:pPr>
      <w:r>
        <w:t>Project reading on law work and the Olympic horizon</w:t>
      </w:r>
    </w:p>
    <w:p>
      <w:pPr>
        <w:keepNext/>
        <w:spacing w:before="120" w:after="60"/>
      </w:pPr>
      <w:r>
        <w:rPr>
          <w:b/>
          <w:sz w:val="21"/>
        </w:rPr>
        <w:t>P6  Australian Law 2012 and Your Relevance</w:t>
      </w:r>
    </w:p>
    <w:p>
      <w:pPr>
        <w:keepNext/>
        <w:spacing w:after="120"/>
      </w:pPr>
      <w:r>
        <w:rPr>
          <w:sz w:val="20"/>
        </w:rPr>
        <w:t>Public learning site and associated Australian Legal Engine repository. Relevant materials include Your Relevance and its full questionnaire, The Method, Sort Bench, The Engine, Nine Registers, Limits, Change the Law and Gamify Democracy. The current engine retrieves cited material from a historical collection; it does not establish that a provision is operative today.</w:t>
      </w:r>
    </w:p>
    <w:p>
      <w:pPr>
        <w:spacing w:after="140"/>
      </w:pPr>
      <w:hyperlink r:id="rId11">
        <w:r>
          <w:rPr>
            <w:color w:val="205A75"/>
            <w:u w:val="single"/>
          </w:rPr>
          <w:t>Open source</w:t>
        </w:r>
      </w:hyperlink>
    </w:p>
    <w:p>
      <w:pPr>
        <w:keepNext/>
        <w:spacing w:before="120" w:after="60"/>
      </w:pPr>
      <w:r>
        <w:rPr>
          <w:b/>
          <w:sz w:val="21"/>
        </w:rPr>
        <w:t>P6 continued  Australian Legal Engine</w:t>
      </w:r>
    </w:p>
    <w:p>
      <w:pPr>
        <w:keepNext/>
        <w:spacing w:after="120"/>
      </w:pPr>
      <w:r>
        <w:rPr>
          <w:sz w:val="20"/>
        </w:rPr>
        <w:t>Repository documentation on document parsing, retrieval, quotations and citations, and the limits of the legal collection. Current-law acquisition, verification and maintenance remain work to establish.</w:t>
      </w:r>
    </w:p>
    <w:p>
      <w:pPr>
        <w:spacing w:after="140"/>
      </w:pPr>
      <w:hyperlink r:id="rId12">
        <w:r>
          <w:rPr>
            <w:color w:val="205A75"/>
            <w:u w:val="single"/>
          </w:rPr>
          <w:t>Open source</w:t>
        </w:r>
      </w:hyperlink>
    </w:p>
    <w:p>
      <w:pPr>
        <w:keepNext/>
        <w:spacing w:before="120" w:after="60"/>
      </w:pPr>
      <w:r>
        <w:rPr>
          <w:b/>
          <w:sz w:val="21"/>
        </w:rPr>
        <w:t>P7  Mutual Futures</w:t>
      </w:r>
    </w:p>
    <w:p>
      <w:pPr>
        <w:keepNext/>
        <w:spacing w:after="120"/>
      </w:pPr>
      <w:r>
        <w:rPr>
          <w:sz w:val="20"/>
        </w:rPr>
        <w:t>Public proposal, including the Workforce and Succession pages. Business succession, willing sellers, shared ownership, practical work experience and planned time away from paid work. Actual finance, employment, insurance, qualifications and return arrangements depend on the particular participating organisations.</w:t>
      </w:r>
    </w:p>
    <w:p>
      <w:pPr>
        <w:spacing w:after="140"/>
      </w:pPr>
      <w:hyperlink r:id="rId13">
        <w:r>
          <w:rPr>
            <w:color w:val="205A75"/>
            <w:u w:val="single"/>
          </w:rPr>
          <w:t>Open source</w:t>
        </w:r>
      </w:hyperlink>
    </w:p>
    <w:p>
      <w:pPr>
        <w:keepNext/>
        <w:spacing w:before="120" w:after="60"/>
      </w:pPr>
      <w:r>
        <w:rPr>
          <w:b/>
          <w:sz w:val="21"/>
        </w:rPr>
        <w:t>P8  Queensland Olympic Earn to Heal Pilot</w:t>
      </w:r>
    </w:p>
    <w:p>
      <w:pPr>
        <w:spacing w:after="120"/>
      </w:pPr>
      <w:r>
        <w:rPr>
          <w:sz w:val="20"/>
        </w:rPr>
        <w:t>Luke Nathan Hayes. Supplied PDF, Queensland Olympic Earn-to-Heal Pilot(20261025-045935).pdf. Used for the proposed link between civic contribution, local learning, community wellbeing and a volunteer network that continues beyond the Games.</w:t>
      </w:r>
    </w:p>
    <w:p>
      <w:pPr>
        <w:keepNext/>
        <w:spacing w:before="120" w:after="60"/>
      </w:pPr>
      <w:r>
        <w:rPr>
          <w:b/>
          <w:sz w:val="21"/>
        </w:rPr>
        <w:t>P9  Australia's Olympic Space Gambit</w:t>
      </w:r>
    </w:p>
    <w:p>
      <w:pPr>
        <w:spacing w:after="120"/>
      </w:pPr>
      <w:r>
        <w:rPr>
          <w:sz w:val="20"/>
        </w:rPr>
        <w:t>Luke Nathan Hayes. Supplied PDF, Australia's Olympic Space Gambit(20261025-045935).pdf. Used for the proposed Olympic civic legacy and the longer horizon of broadly capable people investigating Earth and space futures.</w:t>
      </w:r>
    </w:p>
    <w:p>
      <w:pPr>
        <w:pStyle w:val="Heading2"/>
      </w:pPr>
      <w:r>
        <w:t>How the proposal status is expressed</w:t>
      </w:r>
    </w:p>
    <w:p>
      <w:r>
        <w:t>The project papers contain ambitions, design choices and research directions. They are not evidence of established child welfare outcomes, operating institutions or guaranteed future opportunities. Older monetary or token-redemption descriptions in the Olympic papers are superseded here by the current nonmonetary reciprocity definition. Their clinical and technical claims are not used as evidence of benefits for children.</w:t>
      </w:r>
    </w:p>
    <w:p>
      <w:r>
        <w:t>Public guidance was checked on 25 October 2026. Any use in an individual matter needs the actual jurisdiction, operative law, circumstances and responsible professional. A historical collection is useful for understanding origins and change alongside that current work.</w:t>
      </w:r>
    </w:p>
    <w:p>
      <w:pPr>
        <w:pStyle w:val="Heading1"/>
        <w:pageBreakBefore/>
      </w:pPr>
      <w:r>
        <w:t>Public guidance on intelligence rights and care</w:t>
      </w:r>
    </w:p>
    <w:p>
      <w:pPr>
        <w:keepNext/>
        <w:spacing w:before="120" w:after="60"/>
      </w:pPr>
      <w:r>
        <w:rPr>
          <w:b/>
          <w:sz w:val="21"/>
        </w:rPr>
        <w:t>S1  International AI Safety Report 2026</w:t>
      </w:r>
    </w:p>
    <w:p>
      <w:pPr>
        <w:keepNext/>
        <w:spacing w:after="120"/>
      </w:pPr>
      <w:r>
        <w:rPr>
          <w:sz w:val="20"/>
        </w:rPr>
        <w:t>International AI Safety Report. Current capability, uneven performance, benefits, risks and uncertainty about future development.</w:t>
      </w:r>
    </w:p>
    <w:p>
      <w:pPr>
        <w:spacing w:after="140"/>
      </w:pPr>
      <w:hyperlink r:id="rId14">
        <w:r>
          <w:rPr>
            <w:color w:val="205A75"/>
            <w:u w:val="single"/>
          </w:rPr>
          <w:t>Open source</w:t>
        </w:r>
      </w:hyperlink>
    </w:p>
    <w:p>
      <w:pPr>
        <w:keepNext/>
        <w:spacing w:before="120" w:after="60"/>
      </w:pPr>
      <w:r>
        <w:rPr>
          <w:b/>
          <w:sz w:val="21"/>
        </w:rPr>
        <w:t>S2  Guidance on AI and children</w:t>
      </w:r>
    </w:p>
    <w:p>
      <w:pPr>
        <w:keepNext/>
        <w:spacing w:after="120"/>
      </w:pPr>
      <w:r>
        <w:rPr>
          <w:sz w:val="20"/>
        </w:rPr>
        <w:t>UNICEF Innocenti, version 3, December 2025. Children's rights, development, participation, inclusion, privacy and safety in AI policy and practice.</w:t>
      </w:r>
    </w:p>
    <w:p>
      <w:pPr>
        <w:spacing w:after="140"/>
      </w:pPr>
      <w:hyperlink r:id="rId15">
        <w:r>
          <w:rPr>
            <w:color w:val="205A75"/>
            <w:u w:val="single"/>
          </w:rPr>
          <w:t>Open source</w:t>
        </w:r>
      </w:hyperlink>
    </w:p>
    <w:p>
      <w:pPr>
        <w:keepNext/>
        <w:spacing w:before="120" w:after="60"/>
      </w:pPr>
      <w:r>
        <w:rPr>
          <w:b/>
          <w:sz w:val="21"/>
        </w:rPr>
        <w:t>S3  Forced adoption</w:t>
      </w:r>
    </w:p>
    <w:p>
      <w:pPr>
        <w:keepNext/>
        <w:spacing w:after="120"/>
      </w:pPr>
      <w:r>
        <w:rPr>
          <w:sz w:val="20"/>
        </w:rPr>
        <w:t>Australian Government Department of Social Services. National Apology for Forced Adoptions, 21 March 2013, and acknowledgement of continuing effects.</w:t>
      </w:r>
    </w:p>
    <w:p>
      <w:pPr>
        <w:spacing w:after="140"/>
      </w:pPr>
      <w:hyperlink r:id="rId16">
        <w:r>
          <w:rPr>
            <w:color w:val="205A75"/>
            <w:u w:val="single"/>
          </w:rPr>
          <w:t>Open source</w:t>
        </w:r>
      </w:hyperlink>
    </w:p>
    <w:p>
      <w:pPr>
        <w:keepNext/>
        <w:spacing w:before="120" w:after="60"/>
      </w:pPr>
      <w:r>
        <w:rPr>
          <w:b/>
          <w:sz w:val="21"/>
        </w:rPr>
        <w:t>S4  Aboriginal and Torres Strait Islander Child Placement Principle</w:t>
      </w:r>
    </w:p>
    <w:p>
      <w:pPr>
        <w:keepNext/>
        <w:spacing w:after="120"/>
      </w:pPr>
      <w:r>
        <w:rPr>
          <w:sz w:val="20"/>
        </w:rPr>
        <w:t>SNAICC. Prevention, partnership, placement, participation and connection as the five connected elements.</w:t>
      </w:r>
    </w:p>
    <w:p>
      <w:pPr>
        <w:spacing w:after="140"/>
      </w:pPr>
      <w:hyperlink r:id="rId17">
        <w:r>
          <w:rPr>
            <w:color w:val="205A75"/>
            <w:u w:val="single"/>
          </w:rPr>
          <w:t>Open source</w:t>
        </w:r>
      </w:hyperlink>
    </w:p>
    <w:p>
      <w:pPr>
        <w:keepNext/>
        <w:spacing w:before="120" w:after="60"/>
      </w:pPr>
      <w:r>
        <w:rPr>
          <w:b/>
          <w:sz w:val="21"/>
        </w:rPr>
        <w:t>S5  Charter of rights</w:t>
      </w:r>
    </w:p>
    <w:p>
      <w:pPr>
        <w:keepNext/>
        <w:spacing w:after="120"/>
      </w:pPr>
      <w:r>
        <w:rPr>
          <w:sz w:val="20"/>
        </w:rPr>
        <w:t>Queensland Government. Explanation of rights for children and young people in care, including participation in decisions and access to information and support.</w:t>
      </w:r>
    </w:p>
    <w:p>
      <w:pPr>
        <w:spacing w:after="140"/>
      </w:pPr>
      <w:hyperlink r:id="rId18">
        <w:r>
          <w:rPr>
            <w:color w:val="205A75"/>
            <w:u w:val="single"/>
          </w:rPr>
          <w:t>Open source</w:t>
        </w:r>
      </w:hyperlink>
    </w:p>
    <w:p>
      <w:pPr>
        <w:keepNext/>
        <w:spacing w:before="120" w:after="60"/>
      </w:pPr>
      <w:r>
        <w:rPr>
          <w:b/>
          <w:sz w:val="21"/>
        </w:rPr>
        <w:t>S6  Adoption</w:t>
      </w:r>
    </w:p>
    <w:p>
      <w:pPr>
        <w:keepNext/>
        <w:spacing w:after="120"/>
      </w:pPr>
      <w:r>
        <w:rPr>
          <w:sz w:val="20"/>
        </w:rPr>
        <w:t>Queensland Government. Adoption, legal family relationships and related services. Used as a Queensland example; laws and processes differ between jurisdictions.</w:t>
      </w:r>
    </w:p>
    <w:p>
      <w:pPr>
        <w:spacing w:after="140"/>
      </w:pPr>
      <w:hyperlink r:id="rId19">
        <w:r>
          <w:rPr>
            <w:color w:val="205A75"/>
            <w:u w:val="single"/>
          </w:rPr>
          <w:t>Open source</w:t>
        </w:r>
      </w:hyperlink>
    </w:p>
    <w:p>
      <w:pPr>
        <w:keepNext/>
        <w:spacing w:before="120" w:after="60"/>
      </w:pPr>
      <w:r>
        <w:rPr>
          <w:b/>
          <w:sz w:val="21"/>
        </w:rPr>
        <w:t>S7  Child protection</w:t>
      </w:r>
    </w:p>
    <w:p>
      <w:pPr>
        <w:keepNext/>
        <w:spacing w:after="120"/>
      </w:pPr>
      <w:r>
        <w:rPr>
          <w:sz w:val="20"/>
        </w:rPr>
        <w:t>Australian Government Department of Social Services. State and territory statutory responsibilities and the national Safe and Supported framework.</w:t>
      </w:r>
    </w:p>
    <w:p>
      <w:pPr>
        <w:spacing w:after="140"/>
      </w:pPr>
      <w:hyperlink r:id="rId20">
        <w:r>
          <w:rPr>
            <w:color w:val="205A75"/>
            <w:u w:val="single"/>
          </w:rPr>
          <w:t>Open source</w:t>
        </w:r>
      </w:hyperlink>
    </w:p>
    <w:p>
      <w:pPr>
        <w:keepNext/>
        <w:spacing w:before="120" w:after="60"/>
      </w:pPr>
      <w:r>
        <w:rPr>
          <w:b/>
          <w:sz w:val="21"/>
        </w:rPr>
        <w:t>S8  Support when you leave care</w:t>
      </w:r>
    </w:p>
    <w:p>
      <w:pPr>
        <w:keepNext/>
        <w:spacing w:after="120"/>
      </w:pPr>
      <w:r>
        <w:rPr>
          <w:sz w:val="20"/>
        </w:rPr>
        <w:t>Queensland Government. Transition and extended post-care support, including relevant support to age 21. Availability and eligibility require checking for the individual.</w:t>
      </w:r>
    </w:p>
    <w:p>
      <w:pPr>
        <w:spacing w:after="140"/>
      </w:pPr>
      <w:hyperlink r:id="rId21">
        <w:r>
          <w:rPr>
            <w:color w:val="205A75"/>
            <w:u w:val="single"/>
          </w:rPr>
          <w:t>Open source</w:t>
        </w:r>
      </w:hyperlink>
    </w:p>
    <w:p>
      <w:pPr>
        <w:pStyle w:val="Heading1"/>
        <w:pageBreakBefore/>
      </w:pPr>
      <w:r>
        <w:t>Public guidance on participation and practice</w:t>
      </w:r>
    </w:p>
    <w:p>
      <w:pPr>
        <w:keepNext/>
        <w:spacing w:before="120" w:after="60"/>
      </w:pPr>
      <w:r>
        <w:rPr>
          <w:b/>
          <w:sz w:val="21"/>
        </w:rPr>
        <w:t>S9  Brisbane 2032 volunteers</w:t>
      </w:r>
    </w:p>
    <w:p>
      <w:pPr>
        <w:keepNext/>
        <w:spacing w:after="120"/>
      </w:pPr>
      <w:r>
        <w:rPr>
          <w:sz w:val="20"/>
        </w:rPr>
        <w:t>Brisbane 2032 official volunteer information. The programme is to be released after the LA 2028 Games. Local Aura activities do not constitute official Games recruitment or a promise of a place.</w:t>
      </w:r>
    </w:p>
    <w:p>
      <w:pPr>
        <w:spacing w:after="140"/>
      </w:pPr>
      <w:hyperlink r:id="rId22">
        <w:r>
          <w:rPr>
            <w:color w:val="205A75"/>
            <w:u w:val="single"/>
          </w:rPr>
          <w:t>Open source</w:t>
        </w:r>
      </w:hyperlink>
    </w:p>
    <w:p>
      <w:pPr>
        <w:keepNext/>
        <w:spacing w:before="120" w:after="60"/>
      </w:pPr>
      <w:r>
        <w:rPr>
          <w:b/>
          <w:sz w:val="21"/>
        </w:rPr>
        <w:t>S10  Children and young people</w:t>
      </w:r>
    </w:p>
    <w:p>
      <w:pPr>
        <w:keepNext/>
        <w:spacing w:after="120"/>
      </w:pPr>
      <w:r>
        <w:rPr>
          <w:sz w:val="20"/>
        </w:rPr>
        <w:t>Office of the Australian Information Commissioner. Privacy and consent, including assessment of a young person's capacity in the circumstances. Relevant legal coverage also depends on the organisation and jurisdiction.</w:t>
      </w:r>
    </w:p>
    <w:p>
      <w:pPr>
        <w:spacing w:after="140"/>
      </w:pPr>
      <w:hyperlink r:id="rId23">
        <w:r>
          <w:rPr>
            <w:color w:val="205A75"/>
            <w:u w:val="single"/>
          </w:rPr>
          <w:t>Open source</w:t>
        </w:r>
      </w:hyperlink>
    </w:p>
    <w:p>
      <w:pPr>
        <w:keepNext/>
        <w:spacing w:before="120" w:after="60"/>
      </w:pPr>
      <w:r>
        <w:rPr>
          <w:b/>
          <w:sz w:val="21"/>
        </w:rPr>
        <w:t>S11  Child safe organisations</w:t>
      </w:r>
    </w:p>
    <w:p>
      <w:pPr>
        <w:keepNext/>
        <w:spacing w:after="120"/>
      </w:pPr>
      <w:r>
        <w:rPr>
          <w:sz w:val="20"/>
        </w:rPr>
        <w:t>Australian Human Rights Commission. National Principles for Child Safe Organisations and guidance on participation, safe practice and organisational responsibility.</w:t>
      </w:r>
    </w:p>
    <w:p>
      <w:pPr>
        <w:spacing w:after="140"/>
      </w:pPr>
      <w:hyperlink r:id="rId24">
        <w:r>
          <w:rPr>
            <w:color w:val="205A75"/>
            <w:u w:val="single"/>
          </w:rPr>
          <w:t>Open source</w:t>
        </w:r>
      </w:hyperlink>
    </w:p>
    <w:p>
      <w:pPr>
        <w:keepNext/>
        <w:spacing w:before="120" w:after="60"/>
      </w:pPr>
      <w:r>
        <w:rPr>
          <w:b/>
          <w:sz w:val="21"/>
        </w:rPr>
        <w:t>S12  Mandatory reporting of child abuse and neglect</w:t>
      </w:r>
    </w:p>
    <w:p>
      <w:pPr>
        <w:keepNext/>
        <w:spacing w:after="120"/>
      </w:pPr>
      <w:r>
        <w:rPr>
          <w:sz w:val="20"/>
        </w:rPr>
        <w:t>Australian Institute of Family Studies. Reporting requirements differ by jurisdiction, profession, role and circumstances.</w:t>
      </w:r>
    </w:p>
    <w:p>
      <w:pPr>
        <w:spacing w:after="140"/>
      </w:pPr>
      <w:hyperlink r:id="rId25">
        <w:r>
          <w:rPr>
            <w:color w:val="205A75"/>
            <w:u w:val="single"/>
          </w:rPr>
          <w:t>Open source</w:t>
        </w:r>
      </w:hyperlink>
    </w:p>
    <w:p>
      <w:pPr>
        <w:keepNext/>
        <w:spacing w:before="120" w:after="60"/>
      </w:pPr>
      <w:r>
        <w:rPr>
          <w:b/>
          <w:sz w:val="21"/>
        </w:rPr>
        <w:t>S13  AI chatbots and companions risks to children and young people</w:t>
      </w:r>
    </w:p>
    <w:p>
      <w:pPr>
        <w:keepNext/>
        <w:spacing w:after="120"/>
      </w:pPr>
      <w:r>
        <w:rPr>
          <w:sz w:val="20"/>
        </w:rPr>
        <w:t>eSafety Commissioner, 18 February 2025. Risks involving unsuitable material, relationships and dependency, and the need for appropriate adult involvement.</w:t>
      </w:r>
    </w:p>
    <w:p>
      <w:pPr>
        <w:spacing w:after="140"/>
      </w:pPr>
      <w:hyperlink r:id="rId26">
        <w:r>
          <w:rPr>
            <w:color w:val="205A75"/>
            <w:u w:val="single"/>
          </w:rPr>
          <w:t>Open source</w:t>
        </w:r>
      </w:hyperlink>
    </w:p>
    <w:p>
      <w:pPr>
        <w:keepNext/>
        <w:spacing w:before="120" w:after="60"/>
      </w:pPr>
      <w:r>
        <w:rPr>
          <w:b/>
          <w:sz w:val="21"/>
        </w:rPr>
        <w:t>S14  Australian Framework for Generative Artificial Intelligence in Schools</w:t>
      </w:r>
    </w:p>
    <w:p>
      <w:pPr>
        <w:keepNext/>
        <w:spacing w:after="120"/>
      </w:pPr>
      <w:r>
        <w:rPr>
          <w:sz w:val="20"/>
        </w:rPr>
        <w:t>Australian Government Department of Education. Framework and review endorsed in June 2025. Relevant guidance for the brief school pilot proposal alongside actual school-system approvals and arrangements.</w:t>
      </w:r>
    </w:p>
    <w:p>
      <w:pPr>
        <w:spacing w:after="140"/>
      </w:pPr>
      <w:hyperlink r:id="rId27">
        <w:r>
          <w:rPr>
            <w:color w:val="205A75"/>
            <w:u w:val="single"/>
          </w:rPr>
          <w:t>Open source</w:t>
        </w:r>
      </w:hyperlink>
    </w:p>
    <w:p>
      <w:pPr>
        <w:keepNext/>
        <w:spacing w:before="120" w:after="60"/>
      </w:pPr>
      <w:r>
        <w:rPr>
          <w:b/>
          <w:sz w:val="21"/>
        </w:rPr>
        <w:t>S15  National Statement on Ethical Conduct in Human Research 2025</w:t>
      </w:r>
    </w:p>
    <w:p>
      <w:pPr>
        <w:keepNext/>
        <w:spacing w:after="120"/>
      </w:pPr>
      <w:r>
        <w:rPr>
          <w:sz w:val="20"/>
        </w:rPr>
        <w:t>National Health and Medical Research Council and partner bodies. Effective 23 June 2026. Includes children and young people in Chapter 4.3 and dependent or unequal relationships in Chapter 4.4.</w:t>
      </w:r>
    </w:p>
    <w:p>
      <w:pPr>
        <w:spacing w:after="140"/>
      </w:pPr>
      <w:hyperlink r:id="rId28">
        <w:r>
          <w:rPr>
            <w:color w:val="205A75"/>
            <w:u w:val="single"/>
          </w:rPr>
          <w:t>Open source</w:t>
        </w:r>
      </w:hyperlink>
    </w:p>
    <w:sectPr w:rsidR="00FC693F" w:rsidRPr="0006063C" w:rsidSect="00034616">
      <w:footerReference w:type="default" r:id="rId9"/>
      <w:pgSz w:w="12240" w:h="15840"/>
      <w:pgMar w:top="994" w:right="1123" w:bottom="979" w:left="1123" w:header="403" w:footer="4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sz w:val="17"/>
      </w:rPr>
      <w:t xml:space="preserve">Aura Genesis Protocol   |   Australian care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60" w:line="252" w:lineRule="auto"/>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52" w:lineRule="auto"/>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widowControl/>
      <w:spacing w:before="18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52" w:lineRule="auto" w:before="0"/>
      <w:contextualSpacing/>
    </w:pPr>
    <w:rPr>
      <w:rFonts w:asciiTheme="majorHAnsi" w:eastAsiaTheme="majorEastAsia" w:hAnsiTheme="majorHAnsi" w:cstheme="majorBidi" w:ascii="Calibri" w:hAnsi="Calibri"/>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Theme="majorHAnsi" w:eastAsiaTheme="majorEastAsia" w:hAnsiTheme="majorHAnsi" w:cstheme="majorBidi" w:ascii="Calibri" w:hAnsi="Calibri"/>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00" w:line="259" w:lineRule="auto"/>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00" w:line="259" w:lineRule="auto"/>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uraofintelligence.github.io/aura-verse-box/personal-aura.html" TargetMode="External"/><Relationship Id="rId11" Type="http://schemas.openxmlformats.org/officeDocument/2006/relationships/hyperlink" Target="https://auraofintelligence.github.io/australian-law-2012-lukes-relevance/pages/your-relevance.html" TargetMode="External"/><Relationship Id="rId12" Type="http://schemas.openxmlformats.org/officeDocument/2006/relationships/hyperlink" Target="https://github.com/auraofintelligence/australian-legal-engine" TargetMode="External"/><Relationship Id="rId13" Type="http://schemas.openxmlformats.org/officeDocument/2006/relationships/hyperlink" Target="https://auraofintelligence.github.io/mutual-futures/" TargetMode="External"/><Relationship Id="rId14" Type="http://schemas.openxmlformats.org/officeDocument/2006/relationships/hyperlink" Target="https://internationalaisafetyreport.org/publication/international-ai-safety-report-2026" TargetMode="External"/><Relationship Id="rId15" Type="http://schemas.openxmlformats.org/officeDocument/2006/relationships/hyperlink" Target="https://www.unicef.org/innocenti/reports/policy-guidance-ai-children" TargetMode="External"/><Relationship Id="rId16" Type="http://schemas.openxmlformats.org/officeDocument/2006/relationships/hyperlink" Target="https://www.dss.gov.au/forced-adoption" TargetMode="External"/><Relationship Id="rId17" Type="http://schemas.openxmlformats.org/officeDocument/2006/relationships/hyperlink" Target="https://www.snaicc.org.au/our-work/child-and-family-wellbeing/child-placement-principle/" TargetMode="External"/><Relationship Id="rId18" Type="http://schemas.openxmlformats.org/officeDocument/2006/relationships/hyperlink" Target="https://www.families.qld.gov.au/our-work/child-safety/children-young-people-care/charter-rights" TargetMode="External"/><Relationship Id="rId19" Type="http://schemas.openxmlformats.org/officeDocument/2006/relationships/hyperlink" Target="https://www.families.qld.gov.au/our-work/child-safety/adoption" TargetMode="External"/><Relationship Id="rId20" Type="http://schemas.openxmlformats.org/officeDocument/2006/relationships/hyperlink" Target="https://www.dss.gov.au/child-protection" TargetMode="External"/><Relationship Id="rId21" Type="http://schemas.openxmlformats.org/officeDocument/2006/relationships/hyperlink" Target="https://www.qld.gov.au/youth/support-services/young-people-in-care/leaving-care/support-when-leave-care" TargetMode="External"/><Relationship Id="rId22" Type="http://schemas.openxmlformats.org/officeDocument/2006/relationships/hyperlink" Target="https://www.olympics.com/en/brisbane-2032/the-committee/brisbane-2032-team/volunteers/" TargetMode="External"/><Relationship Id="rId23" Type="http://schemas.openxmlformats.org/officeDocument/2006/relationships/hyperlink" Target="https://www.oaic.gov.au/privacy/your-privacy-rights/more-privacy-rights/children-and-young-people" TargetMode="External"/><Relationship Id="rId24" Type="http://schemas.openxmlformats.org/officeDocument/2006/relationships/hyperlink" Target="https://humanrights.gov.au/resource-hub/resources-for-organisations-businesses/child-safe-organisations" TargetMode="External"/><Relationship Id="rId25" Type="http://schemas.openxmlformats.org/officeDocument/2006/relationships/hyperlink" Target="https://aifs.gov.au/resources/resource-sheets/mandatory-reporting-child-abuse-and-neglect" TargetMode="External"/><Relationship Id="rId26" Type="http://schemas.openxmlformats.org/officeDocument/2006/relationships/hyperlink" Target="https://www.esafety.gov.au/newsroom/blogs/ai-chatbots-and-companions-risks-to-children-and-young-people" TargetMode="External"/><Relationship Id="rId27" Type="http://schemas.openxmlformats.org/officeDocument/2006/relationships/hyperlink" Target="https://www.education.gov.au/schooling/resources/australian-framework-generative-artificial-intelligence-ai-schools" TargetMode="External"/><Relationship Id="rId28" Type="http://schemas.openxmlformats.org/officeDocument/2006/relationships/hyperlink" Target="https://www.nhmrc.gov.au/about-us/publications/national-statement-ethical-conduct-human-research-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 Genesis for Children and Young People in Australian Care</dc:title>
  <dc:subject>Self understanding law and opportunities for adulthood in a world of emerging superintelligence</dc:subject>
  <dc:creator>Luke Nathan Hayes</dc:creator>
  <cp:keywords>Aura of Intelligence, Verse Box, Aura Genesis Protocol, Australian care, legal learning</cp:keywords>
  <dc:description>generated by python-docx</dc:description>
  <cp:lastModifiedBy/>
  <cp:revision>1</cp:revision>
  <dcterms:created xsi:type="dcterms:W3CDTF">2013-12-23T23:15:00Z</dcterms:created>
  <dcterms:modified xsi:type="dcterms:W3CDTF">2013-12-23T23:15:00Z</dcterms:modified>
  <cp:category/>
</cp:coreProperties>
</file>