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Aura of Intelligence</w:t>
        <w:br/>
        <w:t>for Adaptive Whole of Life Support</w:t>
      </w:r>
    </w:p>
    <w:p>
      <w:pPr>
        <w:pStyle w:val="Subtitle"/>
      </w:pPr>
      <w:r>
        <w:t>An introduction for people living with dementia or disability and those supporting them</w:t>
      </w:r>
    </w:p>
    <w:p>
      <w:r>
        <w:t>Luke Nathan Hayes  |  27 October 2026</w:t>
      </w:r>
    </w:p>
    <w:p>
      <w:r>
        <w:t>Aura of Intelligence is being developed as a personal artificial intelligence (AI) environment that grows with a person throughout life. Its proposed digital twin is a computer representation of selected aspects of a person's body, mind and life, built from chosen records and their meaning. The purpose is adaptive whole of life support: help that remains relevant as health, circumstances and priorities change. [P2, P7-P8]</w:t>
      </w:r>
    </w:p>
    <w:p>
      <w:r>
        <w:t>This introduction concerns adults living with younger onset dementia, adults receiving disability support, and people beginning or increasing aged care support. It is also for family, friends, paid and unpaid carers, registered providers, clinicians and government agencies considering where Aura might fit.</w:t>
      </w:r>
    </w:p>
    <w:p>
      <w:r>
        <w:t>If a person chooses to begin, onboarding is the guided starting process. It records a minimum viable self: the agreed personal information needed for the first useful functions, such as preparing a care introduction. It establishes identity, communication, relationships, values and relevant circumstances. The person's own words, corrections and unanswered questions give that first record its meaning. [P4]</w:t>
      </w:r>
    </w:p>
    <w:p>
      <w:r>
        <w:t>The intended benefits follow from that foundation. A person has a familiar way to express a preference, organise a meaningful activity or preserve the connections between a place and their life. Supporters receive relevant context, while practitioners bring their own assessments and responsibilities. These are benefits the programme seeks to demonstrate through practical use and research.</w:t>
      </w:r>
    </w:p>
    <w:p>
      <w:pPr>
        <w:pStyle w:val="Heading2"/>
      </w:pPr>
      <w:r>
        <w:t>The present stage of development</w:t>
      </w:r>
    </w:p>
    <w:p>
      <w:r>
        <w:t>There is a public website, substantial design work and a working browser prototype, Aura Matrix Studio. This early version offers personal questions, editable records, visual organisation, saving on the device and downloadable copies. A separate clinical plan describes dementia research and development of medical software. Secure integration, the complete care service and evidence of clinical benefit remain work to complete. [P3, P7-P8]</w:t>
      </w:r>
    </w:p>
    <w:p>
      <w:r>
        <w:t>The following pages explain the proposed experience, its intended benefits and how it would be tested and delivered responsibly. Verse Box is a proposed public computer station for a guided introduction to personal Aura tools. Demonstrations offer an opportunity to examine them before considering personal onboarding. Interest creates no obligation to participate; any offer needs clear terms and an identifiable responsible organisation. [P2]</w:t>
      </w:r>
    </w:p>
    <w:p>
      <w:pPr>
        <w:pStyle w:val="Heading1"/>
        <w:pageBreakBefore/>
      </w:pPr>
      <w:r>
        <w:t>Recording a minimum viable self during onboarding</w:t>
      </w:r>
    </w:p>
    <w:p>
      <w:r>
        <w:t>The first purpose of onboarding is to record enough of the person for the intended human and twin partnership to begin usefully. Minimum refers to the starting information needed for the agreed functions. Viable means that those uses have a recognisable personal foundation, with missing information and uncertainty visible. The record then develops through experience. [P4, pages 4 to 5]</w:t>
      </w:r>
    </w:p>
    <w:p>
      <w:r>
        <w:t>If the person proceeds, they and a facilitator, someone helping with the introduction, identify the first useful functions. A care handover profile might connect identity, communication preferences, trusted relationships, current circumstances, routines and meaningful memories. They review a proposed introduction and the records informing it. Accessible conversation, selected existing records and chosen media help assemble this first version. The facilitator's role and qualifications are explained for the activity involved.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0" w:type="dxa"/>
          <w:right w:w="100" w:type="dxa"/>
        </w:tblCellMar>
      </w:tblPr>
      <w:tblGrid>
        <w:gridCol w:w="2376"/>
        <w:gridCol w:w="7618"/>
      </w:tblGrid>
      <w:tr>
        <w:trPr>
          <w:cantSplit/>
          <w:tblHeader/>
        </w:trPr>
        <w:tc>
          <w:tcPr>
            <w:tcW w:type="dxa" w:w="2376"/>
            <w:vAlign w:val="center"/>
            <w:shd w:fill="333B42"/>
          </w:tcPr>
          <w:p>
            <w:pPr>
              <w:spacing w:after="0" w:before="0" w:line="250" w:lineRule="auto"/>
            </w:pPr>
            <w:r>
              <w:rPr>
                <w:b/>
                <w:color w:val="FFFFFF"/>
                <w:sz w:val="21"/>
              </w:rPr>
              <w:t>Part of the starting self</w:t>
            </w:r>
          </w:p>
        </w:tc>
        <w:tc>
          <w:tcPr>
            <w:tcW w:type="dxa" w:w="7618"/>
            <w:vAlign w:val="center"/>
            <w:shd w:fill="333B42"/>
          </w:tcPr>
          <w:p>
            <w:pPr>
              <w:spacing w:after="0" w:before="0" w:line="250" w:lineRule="auto"/>
            </w:pPr>
            <w:r>
              <w:rPr>
                <w:b/>
                <w:color w:val="FFFFFF"/>
                <w:sz w:val="21"/>
              </w:rPr>
              <w:t>What the first record brings together</w:t>
            </w:r>
          </w:p>
        </w:tc>
      </w:tr>
      <w:tr>
        <w:trPr>
          <w:cantSplit/>
        </w:trPr>
        <w:tc>
          <w:tcPr>
            <w:tcW w:type="dxa" w:w="2376"/>
            <w:vAlign w:val="center"/>
            <w:shd w:fill="FFFFFF"/>
          </w:tcPr>
          <w:p>
            <w:pPr>
              <w:spacing w:after="0" w:before="0" w:line="250" w:lineRule="auto"/>
            </w:pPr>
            <w:r>
              <w:rPr>
                <w:b w:val="0"/>
                <w:color w:val="000000"/>
                <w:sz w:val="21"/>
              </w:rPr>
              <w:t>Identity and body context</w:t>
            </w:r>
          </w:p>
        </w:tc>
        <w:tc>
          <w:tcPr>
            <w:tcW w:type="dxa" w:w="7618"/>
            <w:vAlign w:val="center"/>
            <w:shd w:fill="FFFFFF"/>
          </w:tcPr>
          <w:p>
            <w:pPr>
              <w:spacing w:after="0" w:before="0" w:line="250" w:lineRule="auto"/>
            </w:pPr>
            <w:r>
              <w:rPr>
                <w:b w:val="0"/>
                <w:color w:val="000000"/>
                <w:sz w:val="21"/>
              </w:rPr>
              <w:t>Chosen identity, relevant body information, current circumstances and the sensory, movement or communication needs that affect the intended use.</w:t>
            </w:r>
          </w:p>
        </w:tc>
      </w:tr>
      <w:tr>
        <w:trPr>
          <w:cantSplit/>
        </w:trPr>
        <w:tc>
          <w:tcPr>
            <w:tcW w:type="dxa" w:w="2376"/>
            <w:vAlign w:val="center"/>
            <w:shd w:fill="F2F4F5"/>
          </w:tcPr>
          <w:p>
            <w:pPr>
              <w:spacing w:after="0" w:before="0" w:line="250" w:lineRule="auto"/>
            </w:pPr>
            <w:r>
              <w:rPr>
                <w:b w:val="0"/>
                <w:color w:val="000000"/>
                <w:sz w:val="21"/>
              </w:rPr>
              <w:t>Language and meaning</w:t>
            </w:r>
          </w:p>
        </w:tc>
        <w:tc>
          <w:tcPr>
            <w:tcW w:type="dxa" w:w="7618"/>
            <w:vAlign w:val="center"/>
            <w:shd w:fill="F2F4F5"/>
          </w:tcPr>
          <w:p>
            <w:pPr>
              <w:spacing w:after="0" w:before="0" w:line="250" w:lineRule="auto"/>
            </w:pPr>
            <w:r>
              <w:rPr>
                <w:b w:val="0"/>
                <w:color w:val="000000"/>
                <w:sz w:val="21"/>
              </w:rPr>
              <w:t>The person's own words, preferred explanations, values, beliefs, important interests and ways of expressing agreement or discomfort.</w:t>
            </w:r>
          </w:p>
        </w:tc>
      </w:tr>
      <w:tr>
        <w:trPr>
          <w:cantSplit/>
        </w:trPr>
        <w:tc>
          <w:tcPr>
            <w:tcW w:type="dxa" w:w="2376"/>
            <w:vAlign w:val="center"/>
            <w:shd w:fill="FFFFFF"/>
          </w:tcPr>
          <w:p>
            <w:pPr>
              <w:spacing w:after="0" w:before="0" w:line="250" w:lineRule="auto"/>
            </w:pPr>
            <w:r>
              <w:rPr>
                <w:b w:val="0"/>
                <w:color w:val="000000"/>
                <w:sz w:val="21"/>
              </w:rPr>
              <w:t>People and places</w:t>
            </w:r>
          </w:p>
        </w:tc>
        <w:tc>
          <w:tcPr>
            <w:tcW w:type="dxa" w:w="7618"/>
            <w:vAlign w:val="center"/>
            <w:shd w:fill="FFFFFF"/>
          </w:tcPr>
          <w:p>
            <w:pPr>
              <w:spacing w:after="0" w:before="0" w:line="250" w:lineRule="auto"/>
            </w:pPr>
            <w:r>
              <w:rPr>
                <w:b w:val="0"/>
                <w:color w:val="000000"/>
                <w:sz w:val="21"/>
              </w:rPr>
              <w:t>Important relationships, who offers support, meaningful homes and locations, and the connections the person wants remembered.</w:t>
            </w:r>
          </w:p>
        </w:tc>
      </w:tr>
      <w:tr>
        <w:trPr>
          <w:cantSplit/>
        </w:trPr>
        <w:tc>
          <w:tcPr>
            <w:tcW w:type="dxa" w:w="2376"/>
            <w:vAlign w:val="center"/>
            <w:shd w:fill="F2F4F5"/>
          </w:tcPr>
          <w:p>
            <w:pPr>
              <w:spacing w:after="0" w:before="0" w:line="250" w:lineRule="auto"/>
            </w:pPr>
            <w:r>
              <w:rPr>
                <w:b w:val="0"/>
                <w:color w:val="000000"/>
                <w:sz w:val="21"/>
              </w:rPr>
              <w:t>Life history and present needs</w:t>
            </w:r>
          </w:p>
        </w:tc>
        <w:tc>
          <w:tcPr>
            <w:tcW w:type="dxa" w:w="7618"/>
            <w:vAlign w:val="center"/>
            <w:shd w:fill="F2F4F5"/>
          </w:tcPr>
          <w:p>
            <w:pPr>
              <w:spacing w:after="0" w:before="0" w:line="250" w:lineRule="auto"/>
            </w:pPr>
            <w:r>
              <w:rPr>
                <w:b w:val="0"/>
                <w:color w:val="000000"/>
                <w:sz w:val="21"/>
              </w:rPr>
              <w:t>Selected memories and events, existing skills, routines, preferences and relevant health or support information with its source.</w:t>
            </w:r>
          </w:p>
        </w:tc>
      </w:tr>
      <w:tr>
        <w:trPr>
          <w:cantSplit/>
        </w:trPr>
        <w:tc>
          <w:tcPr>
            <w:tcW w:type="dxa" w:w="2376"/>
            <w:vAlign w:val="center"/>
            <w:shd w:fill="FFFFFF"/>
          </w:tcPr>
          <w:p>
            <w:pPr>
              <w:spacing w:after="0" w:before="0" w:line="250" w:lineRule="auto"/>
            </w:pPr>
            <w:r>
              <w:rPr>
                <w:b w:val="0"/>
                <w:color w:val="000000"/>
                <w:sz w:val="21"/>
              </w:rPr>
              <w:t>Intentions and boundaries</w:t>
            </w:r>
          </w:p>
        </w:tc>
        <w:tc>
          <w:tcPr>
            <w:tcW w:type="dxa" w:w="7618"/>
            <w:vAlign w:val="center"/>
            <w:shd w:fill="FFFFFF"/>
          </w:tcPr>
          <w:p>
            <w:pPr>
              <w:spacing w:after="0" w:before="0" w:line="250" w:lineRule="auto"/>
            </w:pPr>
            <w:r>
              <w:rPr>
                <w:b w:val="0"/>
                <w:color w:val="000000"/>
                <w:sz w:val="21"/>
              </w:rPr>
              <w:t>What the person wants help with, future wishes, intended twin functions and the agreed audiences and uses of the information.</w:t>
            </w:r>
          </w:p>
        </w:tc>
      </w:tr>
    </w:tbl>
    <w:p>
      <w:pPr>
        <w:spacing w:after="0"/>
      </w:pPr>
    </w:p>
    <w:p>
      <w:pPr>
        <w:pStyle w:val="Heading2"/>
      </w:pPr>
      <w:r>
        <w:t>A first version the person recognises</w:t>
      </w:r>
    </w:p>
    <w:p>
      <w:r>
        <w:t>A facilitator returns the proposed record in an understandable form. The person changes wording, corrects an interpretation and identifies what remains unanswered. A family contribution retains its authorship. A clinical document remains distinguishable from a personal recollection. Information that has not been reviewed stays visibly unchecked.</w:t>
      </w:r>
    </w:p>
    <w:p>
      <w:r>
        <w:t>The starting profile is reviewed against the agreed functions. A field holds an answer or an explicit unresolved status. Missing information changes what is attempted next. The result is a usable first account with a review date, rather than an assumption that the whole person has been captured. [P4, page 8]</w:t>
      </w:r>
    </w:p>
    <w:p>
      <w:pPr>
        <w:pStyle w:val="Heading1"/>
        <w:pageBreakBefore/>
      </w:pPr>
      <w:r>
        <w:t>Developing the human and twin partnership</w:t>
      </w:r>
    </w:p>
    <w:p>
      <w:r>
        <w:t>The minimum viable self gives later encounters somewhere to begin. In Aura's proposed human and twin relationship, records develop through reflection, practical activity and correction. The person supplies meaning as well as information. An account of what happened becomes more useful when the person also explains its significance. [P4, P7]</w:t>
      </w:r>
    </w:p>
    <w:p>
      <w:pPr>
        <w:pStyle w:val="Heading2"/>
      </w:pPr>
      <w:r>
        <w:t>Connections that make information useful</w:t>
      </w:r>
    </w:p>
    <w:p>
      <w:r>
        <w:t>A photograph of a kitchen is more useful when linked to the person who lived there, a favourite recipe and the reason a particular routine mattered. A communication preference is more useful when its circumstances are understood. A new worker learning that someone likes a quiet introduction receives a practical starting point for their first meeting.</w:t>
      </w:r>
    </w:p>
    <w:p>
      <w:r>
        <w:t>Aura's visual design draws on aura and chakra imagery, using connected visual forms to organise personal information. Everyday use is intended to suit the task: conversation, an ordinary screen or an optional three dimensional view explored through a screen or headset. These are ways to navigate records; their usefulness is tested through the person's experience. [P7-P8]</w:t>
      </w:r>
    </w:p>
    <w:p>
      <w:pPr>
        <w:pStyle w:val="Heading2"/>
      </w:pPr>
      <w:r>
        <w:t>A personal model that learns with its person</w:t>
      </w:r>
    </w:p>
    <w:p>
      <w:r>
        <w:t>The longer design includes a compact personal language model, sometimes called a nanoLLM. A language model is software that learns patterns from examples to generate language; Aura proposes authorised personal examples, reflections and corrections for that learning. Its tasks and information boundaries would be agreed before training. Testing would examine faithful representation, uncertainty and correction. This remains planned development beyond the present browser prototype. [P4, page 27; P8]</w:t>
      </w:r>
    </w:p>
    <w:p>
      <w:r>
        <w:t>Keeping a record, retrieving a passage, producing an interpretation and changing a trained model are different activities. The person receives an explanation of what a particular encounter does. A correction to a story is retained as a correction, with a clear account of which records or model versions have incorporated it.</w:t>
      </w:r>
    </w:p>
    <w:p>
      <w:pPr>
        <w:pStyle w:val="Heading2"/>
      </w:pPr>
      <w:r>
        <w:t>Continuity with room for change</w:t>
      </w:r>
    </w:p>
    <w:p>
      <w:r>
        <w:t>A person's present wishes sit alongside earlier experience. A favourite song may become irritating; a crowded gathering may give way to a quieter visit. Dates and context help the system retain that history while support responds to the person now. New friendships, creative work and ambitions join the record.</w:t>
      </w:r>
    </w:p>
    <w:p>
      <w:r>
        <w:t>The intended value is cumulative. Something meaningful recorded during onboarding helps a later encounter, and that encounter improves the next version of the personal account. An ongoing relationship develops around the life being lived, rather than treating the first profile as a final description.</w:t>
      </w:r>
    </w:p>
    <w:p>
      <w:pPr>
        <w:pStyle w:val="Heading1"/>
        <w:pageBreakBefore/>
      </w:pPr>
      <w:r>
        <w:t>Living with younger onset dementia</w:t>
      </w:r>
    </w:p>
    <w:p>
      <w:r>
        <w:t>Dementia describes conditions that affect thinking, memory and everyday functioning. Younger onset dementia means it develops before age 65; the term describes age at onset, rather than stage. Someone may still be parenting, working, managing a household or planning decades ahead. Any introduction to Aura begins with that life and the support the person wants within it. [R7]</w:t>
      </w:r>
    </w:p>
    <w:p>
      <w:pPr>
        <w:pStyle w:val="Heading2"/>
      </w:pPr>
      <w:r>
        <w:t>Record identity while following present priorities</w:t>
      </w:r>
    </w:p>
    <w:p>
      <w:r>
        <w:t>Onboarding gives the person a supported opportunity to describe themselves in their own terms. They might record their work, important people, practical knowledge, humour and hopes alongside the changes they are experiencing. A chosen supporter helps organise the material where useful, while the person reviews what represents them.</w:t>
      </w:r>
    </w:p>
    <w:p>
      <w:r>
        <w:t>Consider someone who wants to keep attending a weekly gardening group. The starting record might include who they go with, the part of gardening they enjoy, how they prefer a reminder and what makes the journey manageable. A small activity then tests whether an agreed prompt or preparation note helps. Difficulties are brought to the appropriate practitioner and support team.</w:t>
      </w:r>
    </w:p>
    <w:p>
      <w:pPr>
        <w:pStyle w:val="Heading2"/>
      </w:pPr>
      <w:r>
        <w:t>Support a particular activity</w:t>
      </w:r>
    </w:p>
    <w:p>
      <w:r>
        <w:t>A relevant example is the British GREAT study, published in 2019. It tested cognitive rehabilitation: therapists helping people practise strategies for chosen everyday activities. Its 475 participants with mild to moderate dementia were allocated by chance to usual care or usual care plus this therapy. Ratings improved for the goals targeted in therapy, with gains maintained at nine months; broader outcomes, including cognition and quality of life, showed no significant differences between groups. Its relevance is the method of testing specific everyday goals. It did not test Aura, which needs its own evidence. [R23]</w:t>
      </w:r>
    </w:p>
    <w:p>
      <w:r>
        <w:t>The person's own experience remains part of that evaluation. Enjoying an activity, feeling understood or expressing a preference matters even when a cognitive test is unchanged. Clinical measures answer additional questions about function, quality of life and health. The account keeps those outcomes distinguishable.</w:t>
      </w:r>
    </w:p>
    <w:p>
      <w:pPr>
        <w:pStyle w:val="Heading2"/>
      </w:pPr>
      <w:r>
        <w:t>Adapt as circumstances change</w:t>
      </w:r>
    </w:p>
    <w:p>
      <w:r>
        <w:t>Later support might use fewer choices, a different display or more help from another person. The underlying life record gives that adaptation continuity. A familiar voice or photograph may remain useful when written material becomes difficult; another person may prefer a straightforward conversation without a digital activity.</w:t>
      </w:r>
    </w:p>
    <w:p>
      <w:r>
        <w:t>The aim is to maintain access to personally meaningful activity and better informed support through changing needs. Diagnosis, treatment, assessment of new symptoms and decisions about clinical care remain with the relevant practitioners. The personal Aura contributes context to that relationship.</w:t>
      </w:r>
    </w:p>
    <w:p>
      <w:pPr>
        <w:pStyle w:val="Heading1"/>
        <w:pageBreakBefore/>
      </w:pPr>
      <w:r>
        <w:t>Disability support shaped by the person</w:t>
      </w:r>
    </w:p>
    <w:p>
      <w:r>
        <w:t>Disability support begins with the person's own life, abilities and chosen goals. Someone who has used communication equipment for years may know exactly how they want to express themselves. Another person may be adjusting to an acquired disability. Their existing skills and support arrangements shape the introduction to Aura.</w:t>
      </w:r>
    </w:p>
    <w:p>
      <w:pPr>
        <w:pStyle w:val="Heading2"/>
      </w:pPr>
      <w:r>
        <w:t>Build on what already works</w:t>
      </w:r>
    </w:p>
    <w:p>
      <w:r>
        <w:t>The minimum viable self includes the communication methods, sensory preferences, movement needs and practical supports relevant to the first intended functions. The person identifies which existing equipment or routines they want to keep using. Any proposed connection with other devices is checked against the actual equipment and the professional advice relevant to it.</w:t>
      </w:r>
    </w:p>
    <w:p>
      <w:r>
        <w:t>For example, an adult might want a new support worker to understand how they indicate pain, how long they need to respond and which activities they enjoy. A short introduction drawn from reviewed records gives the worker useful context. The worker then listens to the person's present response and follows the actual support plan.</w:t>
      </w:r>
    </w:p>
    <w:p>
      <w:pPr>
        <w:pStyle w:val="Heading2"/>
      </w:pPr>
      <w:r>
        <w:t>Independence includes directing assistance</w:t>
      </w:r>
    </w:p>
    <w:p>
      <w:r>
        <w:t>A goal may involve doing a task independently, doing it with assistance or directing how another person helps. The relevant outcome follows the person's intention. An accessible planning screen might support a creative project; an audio instruction might support part of a familiar routine; a chosen summary might prepare a meeting.</w:t>
      </w:r>
    </w:p>
    <w:p>
      <w:r>
        <w:t>The National Disability Insurance Scheme (NDIS) funds eligible disability supports in Australia. Its Practice Standards set quality requirements for registered providers, including understandable communication, individual choice, personal values and community participation. These requirements provide a practical reference for designing and reviewing proposed Aura support. Testing asks whether the interface and activity reduce effort or add to it. [R11]</w:t>
      </w:r>
    </w:p>
    <w:p>
      <w:pPr>
        <w:pStyle w:val="Heading2"/>
      </w:pPr>
      <w:r>
        <w:t>A life beyond a service category</w:t>
      </w:r>
    </w:p>
    <w:p>
      <w:r>
        <w:t>The same person may use their Aura to organise learning, travel, friendships or an artistic project. Disability related information joins that wider account in the context where it is useful. The person chooses the material appropriate to a care encounter and the material appropriate to a social one.</w:t>
      </w:r>
    </w:p>
    <w:p>
      <w:r>
        <w:t>Assistive technology means equipment or software helping with activities affected by disability. Claims about such help need evidence for the intended users and functions. One person's experience informs design; testing across different access needs examines dependability. A service records successful use and circumstances where another approach fits better.</w:t>
      </w:r>
    </w:p>
    <w:p>
      <w:r>
        <w:t>The practical aim is greater agency in everyday life: expressing a choice, completing a chosen activity or receiving help in a way that makes sense to the person. Registered services and practitioners retain the duties attached to their actual roles.</w:t>
      </w:r>
    </w:p>
    <w:p>
      <w:pPr>
        <w:pStyle w:val="Heading1"/>
        <w:pageBreakBefore/>
      </w:pPr>
      <w:r>
        <w:t>Beginning support as aged care needs emerge</w:t>
      </w:r>
    </w:p>
    <w:p>
      <w:r>
        <w:t>Early aged care support means responding to needs as they emerge, with time to understand choices and prepare. Someone might want help around the home, more social contact, support after illness or a clearer plan for a possible move. A personal Aura begins with those priorities alongside the person's existing life.</w:t>
      </w:r>
    </w:p>
    <w:p>
      <w:pPr>
        <w:pStyle w:val="Heading2"/>
      </w:pPr>
      <w:r>
        <w:t>A first account that belongs to the person</w:t>
      </w:r>
    </w:p>
    <w:p>
      <w:r>
        <w:t>Onboarding might bring together important relationships, preferred routines, communication choices, meaningful possessions and current concerns. The person decides what is relevant to the initial uses. An appointment summary or a small memory collection offers a practical way to test the relationship before a larger collection develops.</w:t>
      </w:r>
    </w:p>
    <w:p>
      <w:r>
        <w:t>Imagine an older person preparing for an assessment while also considering downsizing. Their personal record identifies the daily activities they value and the support they already receive. They choose several questions for the assessor and a few places at home they want to record. The two activities have a shared personal context, while the assessment follows its own professional process.</w:t>
      </w:r>
    </w:p>
    <w:p>
      <w:pPr>
        <w:pStyle w:val="Heading2"/>
      </w:pPr>
      <w:r>
        <w:t>Coordinate help around a meaningful goal</w:t>
      </w:r>
    </w:p>
    <w:p>
      <w:r>
        <w:t>The World Health Organization (WHO), the United Nations health agency, publishes guidance for care workers. Its 2025 Integrated Care for Older People handbook describes assessing abilities and support needs, then coordinating a personal care plan. This is relevant to linking a goal, such as continuing to host a family meal, with practical assistance, professional advice and a review of what helped. It is a published reference for the proposal. [R13]</w:t>
      </w:r>
    </w:p>
    <w:p>
      <w:r>
        <w:t>Chosen information is prepared for the particular encounter. A worker assisting with a routine receives the relevant preference and instructions. A family member helping with a visit receives the agreed arrangements. The personal record provides continuity while each service keeps its required records and responsibilities.</w:t>
      </w:r>
    </w:p>
    <w:p>
      <w:pPr>
        <w:pStyle w:val="Heading2"/>
      </w:pPr>
      <w:r>
        <w:t>Prepare for change without putting life on hold</w:t>
      </w:r>
    </w:p>
    <w:p>
      <w:r>
        <w:t>Recording familiar places before downsizing preserves material that would be harder to gather afterwards. Discussing future support while it is understandable also gives the person time to describe what matters. Their wishes remain open to review as circumstances and understanding change.</w:t>
      </w:r>
    </w:p>
    <w:p>
      <w:r>
        <w:t>New experiences belong in the record too. A friendship, a different interest or an enjoyable outing gives the developing Aura present context. Whole of life support includes the ordinary pleasures that make a day worthwhile, alongside the arrangements that make daily living manageable.</w:t>
      </w:r>
    </w:p>
    <w:p>
      <w:r>
        <w:t>My Aged Care is the government entry point for aged care assessment and services; its funding pathways are explained later. The personal starting point is a recognisable account and a useful activity through which to learn whether the support fits. [R18]</w:t>
      </w:r>
    </w:p>
    <w:p>
      <w:pPr>
        <w:pStyle w:val="Heading1"/>
        <w:pageBreakBefore/>
      </w:pPr>
      <w:r>
        <w:t>Self reflection identity and future wishes</w:t>
      </w:r>
    </w:p>
    <w:p>
      <w:r>
        <w:t>Deep self reflection helps explain why a memory, preference or hope matters. Onboarding records the first account; later reflection explores its meaning and allows the person to revise it. The conversation follows their interest, language and energy, with a chosen supporter or an appropriately qualified professional where relevant. [P4]</w:t>
      </w:r>
    </w:p>
    <w:p>
      <w:pPr>
        <w:pStyle w:val="Heading2"/>
      </w:pPr>
      <w:r>
        <w:t>Explore the meaning behind an answer</w:t>
      </w:r>
    </w:p>
    <w:p>
      <w:r>
        <w:t>Someone saying they miss home may mean a garden, privacy, neighbours, a view or the freedom to choose when to go outside. Exploring that meaning gives supporters something practical to respond to. The recording links the person's explanation with its circumstances, while a proposed interpretation is returned for correction.</w:t>
      </w:r>
    </w:p>
    <w:p>
      <w:r>
        <w:t>Questions also reach beyond immediate care. What makes a satisfying day? Which experiences changed an opinion? What would the person like to learn? How do they want relationships to develop? Their answers help an Aura retain a developing account of values and intentions, rather than only a history of appointments and problems.</w:t>
      </w:r>
    </w:p>
    <w:p>
      <w:pPr>
        <w:pStyle w:val="Heading2"/>
      </w:pPr>
      <w:r>
        <w:t>Public private and secret selves</w:t>
      </w:r>
    </w:p>
    <w:p>
      <w:r>
        <w:t>The design uses public, private and secret selves to describe different contexts of expression and access. Public material is what the person chooses to express outwardly. Private material holds context for personal use and selected relationships. Secret material describes especially intimate or closely held information with more specific boundaries. [P4, page 5]</w:t>
      </w:r>
    </w:p>
    <w:p>
      <w:r>
        <w:t>These distinctions help explain why a short public introduction and a trusted private conversation contain different detail. Recording something internally does not itself publish it. Proposed sharing, model training and research uses are explained for the information involved and the audience or purpose being considered.</w:t>
      </w:r>
    </w:p>
    <w:p>
      <w:pPr>
        <w:pStyle w:val="Heading2"/>
      </w:pPr>
      <w:r>
        <w:t>A past that informs an unfolding life</w:t>
      </w:r>
    </w:p>
    <w:p>
      <w:r>
        <w:t>A recollection stays identifiable as a recollection, with uncertainty and other accounts kept visible. Reflection invites understanding without pressing the person towards a preferred answer. Sensitive topics receive an appropriate pace and support, and an encounter pauses when it becomes unwelcome or distressing.</w:t>
      </w:r>
    </w:p>
    <w:p>
      <w:r>
        <w:t>Future wishes might concern who the person wants involved, how they prefer help to be offered, places they hope to visit or something they want to create. Formal legal instructions follow the relevant legal process. A personal recording adds context to those discussions and remains distinguishable from a legally effective document. [R25]</w:t>
      </w:r>
    </w:p>
    <w:p>
      <w:r>
        <w:t>Humour, creativity and ordinary enjoyment also belong here. The developing record has room for what the person finds delightful now and what they would like to explore next. That makes self reflection relevant to living, as well as to remembering.</w:t>
      </w:r>
    </w:p>
    <w:p>
      <w:pPr>
        <w:pStyle w:val="Heading1"/>
        <w:pageBreakBefore/>
      </w:pPr>
      <w:r>
        <w:t>Memory palaces and location based memories</w:t>
      </w:r>
    </w:p>
    <w:p>
      <w:r>
        <w:t>A place often provides a route into a story. A kitchen table connects with meals and conversations; a garden path connects with people, seasons and skills. Aura's proposed memory palace links photographs, recordings, objects and stories with those locations, retaining the associations through changes of home. [P1-P2]</w:t>
      </w:r>
    </w:p>
    <w:p>
      <w:pPr>
        <w:pStyle w:val="Heading2"/>
      </w:pPr>
      <w:r>
        <w:t>An external place for meaningful connections</w:t>
      </w:r>
    </w:p>
    <w:p>
      <w:r>
        <w:t>Here, a memory palace is an external collection organised around places important to the person. A photograph of a room may contain several selected objects to open. An audio request such as "the old garden" returns related material. A spatial model or a 360 degree recording offers another way to explore the same collection when that suits the person.</w:t>
      </w:r>
    </w:p>
    <w:p>
      <w:r>
        <w:t>The minimum viable self supplies the first personal context: who lived there, which relationships matter, the words the person uses and why a place is significant. The memory palace extends that account through locations. Its usefulness comes from those relationships and meanings as well as the media being stored.</w:t>
      </w:r>
    </w:p>
    <w:p>
      <w:pPr>
        <w:pStyle w:val="Heading2"/>
      </w:pPr>
      <w:r>
        <w:t>Preserve a route to a story</w:t>
      </w:r>
    </w:p>
    <w:p>
      <w:r>
        <w:t>A photograph of a shelf might link to a wedding gift, a voice recording and a recollection of the person who gave it. The original recording remains distinguishable from a later summary. A supporter helping someone revisit the collection has a way to return to the person's own account.</w:t>
      </w:r>
    </w:p>
    <w:p>
      <w:r>
        <w:t>A family member may add a different memory of the same occasion. Their contribution retains its authorship and date. The collection accommodates different perspectives and uncertain details. It also identifies material the person prefers to keep private or leave aside.</w:t>
      </w:r>
    </w:p>
    <w:p>
      <w:pPr>
        <w:pStyle w:val="Heading2"/>
      </w:pPr>
      <w:r>
        <w:t>Evidence and the benefit being sought</w:t>
      </w:r>
    </w:p>
    <w:p>
      <w:r>
        <w:t>A digital life storybook brings a person's photographs, voice, music and stories into a multimedia account. A 2016 care home evaluation reported additional improvements in quality of life and memory for personal experiences in five of six participants. This small exploratory study gives a reason to investigate meaningful personal collections. Aura's place based memory palace still needs evaluation for its own uses. [R24]</w:t>
      </w:r>
    </w:p>
    <w:p>
      <w:r>
        <w:t>Relevant questions include whether the experience supports conversation, enjoyment, identity or a meaningful activity; whether it causes distress or confusion; and how much help it requires. Retaining a recording is different from demonstrating a change in biological memory. The benefit sought through a move is continued access to personally meaningful cues and a better informed care relationship.</w:t>
      </w:r>
    </w:p>
    <w:p>
      <w:r>
        <w:t>A printed album, a familiar object and an ordinary conversation remain useful ways to make those connections. Immersion is an option within the design, with the person's experience guiding the choice.</w:t>
      </w:r>
    </w:p>
    <w:p>
      <w:pPr>
        <w:pStyle w:val="Heading1"/>
        <w:pageBreakBefore/>
      </w:pPr>
      <w:r>
        <w:t>Preparing a memory palace before downsizing</w:t>
      </w:r>
    </w:p>
    <w:p>
      <w:r>
        <w:t>The preparation starts with the person's chosen places. A small, meaningful collection is a useful first result: one room, a view, a favourite object and the story connecting them. The activity is spread over manageable encounters, with time to review what has been captured. [P1-P2]</w:t>
      </w:r>
    </w:p>
    <w:p>
      <w:pPr>
        <w:pStyle w:val="Heading2"/>
      </w:pPr>
      <w:r>
        <w:t>Record the place and its personal meaning</w:t>
      </w:r>
    </w:p>
    <w:p>
      <w:r>
        <w:t>A facilitator or chosen supporter helps photograph or record a place with the appropriate permission. The person explains what matters there. A kitchen might hold a particular recipe, the sound of a family gathering or the memory of making something together. A garden might link a plant with a friend who supplied the cutting.</w:t>
      </w:r>
    </w:p>
    <w:p>
      <w:r>
        <w:t>Each item receives enough context to find it again: a recognisable name, location, approximate date, source and a short account of its meaning. Existing photographs and letters join where the person wants them. An uncertain date stays approximate. A gap in the story stays available for later reflection.</w:t>
      </w:r>
    </w:p>
    <w:p>
      <w:pPr>
        <w:pStyle w:val="Heading2"/>
      </w:pPr>
      <w:r>
        <w:t>Make choices about possessions</w:t>
      </w:r>
    </w:p>
    <w:p>
      <w:r>
        <w:t>The record helps discuss which objects follow physically into a smaller home and which are represented through media. A favourite cup or chair may provide an immediate connection in the new room. A digital record preserves a different kind of access to an object that is passed on, stored or left behind.</w:t>
      </w:r>
    </w:p>
    <w:p>
      <w:r>
        <w:t>Those choices remain personal and practical. A supporter identifies what is possible in the receiving home, including space and care requirements. The person's account of why something matters helps people consider a fitting arrangement rather than deciding solely from an inventory.</w:t>
      </w:r>
    </w:p>
    <w:p>
      <w:pPr>
        <w:pStyle w:val="Heading2"/>
      </w:pPr>
      <w:r>
        <w:t>Review privacy and accessibility before the move</w:t>
      </w:r>
    </w:p>
    <w:p>
      <w:r>
        <w:t>Recordings of visitors, private conversations or material about other people need separate consideration before sharing. Cultural knowledge follows the relevant permissions and authority. A wider room scan is reviewed for unintended details such as personal documents, addresses or images the person did not intend to disclose.</w:t>
      </w:r>
    </w:p>
    <w:p>
      <w:r>
        <w:t>The person tries the collection in the form likely to be used later. They might select a picture on a tablet, listen with a supporter or use an immersive view. Useful access is checked in that actual format. A readable album or selected printed pages offer an alternative if equipment or connectivity changes.</w:t>
      </w:r>
    </w:p>
    <w:p>
      <w:r>
        <w:t>Before moving day, the person and those helping them review what travels, who is receiving access and who will maintain the collection. The intended result is continuity through a demanding transition, with the preparation itself remaining a worthwhile and manageable experience.</w:t>
      </w:r>
    </w:p>
    <w:p>
      <w:pPr>
        <w:pStyle w:val="Heading1"/>
        <w:pageBreakBefore/>
      </w:pPr>
      <w:r>
        <w:t>Moving into a new home or full time care</w:t>
      </w:r>
    </w:p>
    <w:p>
      <w:r>
        <w:t>The life record continues after a move. Earlier homes retain their place in the person's history, while the new room, present routines and emerging relationships become part of the Aura. Full time support planning for younger adults also includes exploring age appropriate housing and support options. [R21, R22]</w:t>
      </w:r>
    </w:p>
    <w:p>
      <w:pPr>
        <w:pStyle w:val="Heading2"/>
      </w:pPr>
      <w:r>
        <w:t>An introduction for the receiving team</w:t>
      </w:r>
    </w:p>
    <w:p>
      <w:r>
        <w:t>With the person's agreement and the relevant authority, the receiving team gets a short, purposeful introduction. It might include how the person communicates, the pace they prefer, important relationships and a few meaningful activities. Sources and dates help staff understand which details are current and where to check an interpretation.</w:t>
      </w:r>
    </w:p>
    <w:p>
      <w:r>
        <w:t>A memory palace gives those details context. Staff might learn why a particular window view matters or how an object connects with a familiar routine. The introduction remains small enough to use during real care, with further material available through the agreed access arrangements.</w:t>
      </w:r>
    </w:p>
    <w:p>
      <w:pPr>
        <w:pStyle w:val="Heading2"/>
      </w:pPr>
      <w:r>
        <w:t>Earlier places and the present home</w:t>
      </w:r>
    </w:p>
    <w:p>
      <w:r>
        <w:t>A visit to an earlier home is identified as a visit to an earlier place. The activity supports a conversation or a chosen experience while the person is also helped to understand and enjoy the present setting. New photographs, people and stories are added when welcome.</w:t>
      </w:r>
    </w:p>
    <w:p>
      <w:r>
        <w:t>The person's response guides the encounter. Material that was comforting one day may be tiring or upsetting another day. A supporter changes or ends the activity when needed and records relevant observations for review. A familiar object, fresh air or ordinary conversation may be a better choice at that time. [R15, R21]</w:t>
      </w:r>
    </w:p>
    <w:p>
      <w:pPr>
        <w:pStyle w:val="Heading2"/>
      </w:pPr>
      <w:r>
        <w:t>Keep the relationship dependable</w:t>
      </w:r>
    </w:p>
    <w:p>
      <w:r>
        <w:t>A move includes practical questions about equipment, access and responsibility. Someone is identified to help open the material, make a correction and resolve a problem. Staff changes or a change of provider have an agreed handover. The provider's care records and clinical escalation arrangements continue through their established processes.</w:t>
      </w:r>
    </w:p>
    <w:p>
      <w:r>
        <w:t>The collection is also reviewed with family or other chosen supporters. Earlier preferences inform understanding, while present wishes receive attention. A person who once loved a noisy gathering may now enjoy one visitor at a time. The account records the change and its context.</w:t>
      </w:r>
    </w:p>
    <w:p>
      <w:r>
        <w:t>Success is observable in everyday life: a worker understands something useful, the person finds a meaningful connection or a new routine becomes easier to discuss. Research examines those experiences alongside unwanted effects and the effort asked of residents, families and staff.</w:t>
      </w:r>
    </w:p>
    <w:p>
      <w:pPr>
        <w:pStyle w:val="Heading1"/>
        <w:pageBreakBefore/>
      </w:pPr>
      <w:r>
        <w:t>Adult Genesis and the Truth Engine research proposal</w:t>
      </w:r>
    </w:p>
    <w:p>
      <w:r>
        <w:t>Aura Genesis is the proposed intensive adult programme bringing together self reflection, development of a personal Aura, hyperbaric oxygen therapy (HBOT) and the Truth Engine research proposal. It is designed to develop a richer human and twin partnership from the initial minimum viable self. Everyday Aura support has its own introduction pathway. [P4]</w:t>
      </w:r>
    </w:p>
    <w:p>
      <w:pPr>
        <w:pStyle w:val="Heading2"/>
      </w:pPr>
      <w:r>
        <w:t>The proposed session experience</w:t>
      </w:r>
    </w:p>
    <w:p>
      <w:r>
        <w:t>The source design describes 60 days with two hours per day at hyperbaric pressure, totalling 120 session hours. HBOT involves breathing oxygen in a pressurised chamber. A hyperbaric specialist assesses the person and the clinical purpose, with the actual schedule determined through the clinical and research arrangements. [P4, R34]</w:t>
      </w:r>
    </w:p>
    <w:p>
      <w:r>
        <w:t>Sessions are intended as solo personal reflection, supported by the agreed interface and clinical team. An ordinary screen or virtual reality, a headset displaying an immersive environment, would depend on preference and verified equipment suitability. Discovery, personalisation and integration describe the proposed sequence: record the first account, connect its personal contexts, then revisit important claims and test how faithfully the twin represents the person. [P4]</w:t>
      </w:r>
    </w:p>
    <w:p>
      <w:pPr>
        <w:pStyle w:val="Heading2"/>
      </w:pPr>
      <w:r>
        <w:t>Continuous recording during sessions</w:t>
      </w:r>
    </w:p>
    <w:p>
      <w:r>
        <w:t>The Genesis design includes continuous camera and microphone recording throughout the defined sessions, including periods of rest. Specified sensors follow their agreed acquisition arrangements. Recording outside those session boundaries follows separate interaction permissions. The person receives an understandable demonstration of what is recorded, how a correction is made and how later use or sharing is agreed. [P4]</w:t>
      </w:r>
    </w:p>
    <w:p>
      <w:r>
        <w:t>Clinical supervision, safe exit and emergency procedures take priority. The participant understands these arrangements before a first pressure session. The defined recording conditions are part of choosing Genesis participation; ordinary support offers a separate route for someone who does not want that experience.</w:t>
      </w:r>
    </w:p>
    <w:p>
      <w:pPr>
        <w:pStyle w:val="Heading2"/>
      </w:pPr>
      <w:r>
        <w:t>What the Truth Engine is investigating</w:t>
      </w:r>
    </w:p>
    <w:p>
      <w:r>
        <w:t>The research includes tasks in which an adult explicitly agrees to give selected truthful or deliberately false responses. The record identifies which response was requested for that task. Researchers would investigate whether personal speech, behaviour and other recorded signals provide useful information for the developing twin. Agreement to this research is explained separately from other programme elements. [P4]</w:t>
      </w:r>
    </w:p>
    <w:p>
      <w:r>
        <w:t>This is research, rather than a validated lie detection service. There is no established basis for using its outputs to judge honesty, capacity or entitlement to care. Uncertain memory, communication differences and distress receive appropriate clinical consideration. Any future claim about performance requires its own evidence for the particular task and people involved.</w:t>
      </w:r>
    </w:p>
    <w:p>
      <w:r>
        <w:t>The personal experience, the HBOT intervention and the Truth Engine hypotheses each need defined research questions. Their inclusion in a shared design does not establish a combined clinical benefit.</w:t>
      </w:r>
    </w:p>
    <w:p>
      <w:pPr>
        <w:pStyle w:val="Heading1"/>
        <w:pageBreakBefore/>
      </w:pPr>
      <w:r>
        <w:t>HBOT and other adult wellbeing activities</w:t>
      </w:r>
    </w:p>
    <w:p>
      <w:r>
        <w:t>The adult proposal brings clinical treatment and wellbeing activities into the same wider setting while giving each a defined purpose. An activity is considered in relation to the person's health, interests, medication, access needs and comfort. Its place in a programme follows that assessment. [P9]</w:t>
      </w:r>
    </w:p>
    <w:p>
      <w:pPr>
        <w:pStyle w:val="Heading2"/>
      </w:pPr>
      <w:r>
        <w:t>Healing goals and the evidence for HBOT</w:t>
      </w:r>
    </w:p>
    <w:p>
      <w:r>
        <w:t>HBOT has recognised medical uses, including selected difficult wounds and radiation injuries. Published patient information from Royal Brisbane and Women's Hospital explains specialist assessment, treatment planning and repeated checks of fitness for treatment. It provides a reference for understanding clinical delivery and relevant healing goals. The information helps identify the assessment, supervision and treatment planning an actual offer would need. [R34]</w:t>
      </w:r>
    </w:p>
    <w:p>
      <w:r>
        <w:t>Dementia use and the proposed combined Aura programme require their own evidence. A small 2020 study examined HBOT, including changes in thinking and memory test scores for people with Alzheimer's disease. Early improvements were not sustained at three and six months. This gives a question for controlled investigation, rather than evidence of lasting benefit from the proposed programme. [R35]</w:t>
      </w:r>
    </w:p>
    <w:p>
      <w:r>
        <w:t>Chamber engineering, oxygen safety, permitted equipment, clinical monitoring and emergency arrangements belong to qualified hyperbaric delivery. Any interface or sensor used there requires verified suitability. Personal AI and presentation systems remain separate from the validated treatment controls. [P4, R34]</w:t>
      </w:r>
    </w:p>
    <w:p>
      <w:pPr>
        <w:pStyle w:val="Heading2"/>
      </w:pPr>
      <w:r>
        <w:t>Sauna and ice baths in context</w:t>
      </w:r>
    </w:p>
    <w:p>
      <w:r>
        <w:t>Sauna is among the proposed adult wellbeing options. A Finnish study followed a group of men and found more frequent sauna use was associated with a lower later risk of dementia. Participants were observed, rather than assigned sauna treatment, so the finding does not establish cause or treatment of existing dementia. Individual health and the purpose of participation need review. [R36]</w:t>
      </w:r>
    </w:p>
    <w:p>
      <w:r>
        <w:t>Ice baths and other cold immersion also require a distinct assessment. Cold shock affects breathing, heart rate and blood pressure, making personal health and supervision relevant. Comfort, a clear way to stop and an appropriate response to difficulty are part of considering participation. [R37]</w:t>
      </w:r>
    </w:p>
    <w:p>
      <w:pPr>
        <w:pStyle w:val="Heading2"/>
      </w:pPr>
      <w:r>
        <w:t>Wellbeing in everyday life</w:t>
      </w:r>
    </w:p>
    <w:p>
      <w:r>
        <w:t>Movement, suitable recreation, food, sleep, rest and social contact remain part of the wider life being supported. A person might enjoy a garden activity, music, an accessible outing or a quiet period of reflection. Relevant practitioners help define any rehabilitation or clinical goals.</w:t>
      </w:r>
    </w:p>
    <w:p>
      <w:r>
        <w:t>The programme records what was offered, why it was chosen and how the person experienced it. A pleasurable activity has value as an experience; a medical claim requires clinical evidence. Reviewing both helps the proposed setting develop around real people and useful outcomes.</w:t>
      </w:r>
    </w:p>
    <w:p>
      <w:pPr>
        <w:pStyle w:val="Heading1"/>
        <w:pageBreakBefore/>
      </w:pPr>
      <w:r>
        <w:t>Families carers and accountable professional support</w:t>
      </w:r>
    </w:p>
    <w:p>
      <w:r>
        <w:t>The proposed support depends on people with agreed, identifiable responsibilities. The roles below describe arrangements to establish for a particular offer. A relative might explain a photograph; a paid worker might use a preferred introduction; a clinician might assess a reported change. Each contribution follows the person's agreement and the authority relevant to that role.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0" w:type="dxa"/>
          <w:right w:w="100" w:type="dxa"/>
        </w:tblCellMar>
      </w:tblPr>
      <w:tblGrid>
        <w:gridCol w:w="2376"/>
        <w:gridCol w:w="7618"/>
      </w:tblGrid>
      <w:tr>
        <w:trPr>
          <w:cantSplit/>
          <w:tblHeader/>
        </w:trPr>
        <w:tc>
          <w:tcPr>
            <w:tcW w:type="dxa" w:w="2376"/>
            <w:vAlign w:val="center"/>
            <w:shd w:fill="333B42"/>
          </w:tcPr>
          <w:p>
            <w:pPr>
              <w:spacing w:after="0" w:before="0" w:line="250" w:lineRule="auto"/>
            </w:pPr>
            <w:r>
              <w:rPr>
                <w:b/>
                <w:color w:val="FFFFFF"/>
                <w:sz w:val="21"/>
              </w:rPr>
              <w:t>Person or organisation</w:t>
            </w:r>
          </w:p>
        </w:tc>
        <w:tc>
          <w:tcPr>
            <w:tcW w:type="dxa" w:w="7618"/>
            <w:vAlign w:val="center"/>
            <w:shd w:fill="333B42"/>
          </w:tcPr>
          <w:p>
            <w:pPr>
              <w:spacing w:after="0" w:before="0" w:line="250" w:lineRule="auto"/>
            </w:pPr>
            <w:r>
              <w:rPr>
                <w:b/>
                <w:color w:val="FFFFFF"/>
                <w:sz w:val="21"/>
              </w:rPr>
              <w:t>Role in the proposed support</w:t>
            </w:r>
          </w:p>
        </w:tc>
      </w:tr>
      <w:tr>
        <w:trPr>
          <w:cantSplit/>
        </w:trPr>
        <w:tc>
          <w:tcPr>
            <w:tcW w:type="dxa" w:w="2376"/>
            <w:vAlign w:val="center"/>
            <w:shd w:fill="FFFFFF"/>
          </w:tcPr>
          <w:p>
            <w:pPr>
              <w:spacing w:after="0" w:before="0" w:line="250" w:lineRule="auto"/>
            </w:pPr>
            <w:r>
              <w:rPr>
                <w:b w:val="0"/>
                <w:color w:val="000000"/>
                <w:sz w:val="21"/>
              </w:rPr>
              <w:t>The person and chosen supporters</w:t>
            </w:r>
          </w:p>
        </w:tc>
        <w:tc>
          <w:tcPr>
            <w:tcW w:type="dxa" w:w="7618"/>
            <w:vAlign w:val="center"/>
            <w:shd w:fill="FFFFFF"/>
          </w:tcPr>
          <w:p>
            <w:pPr>
              <w:spacing w:after="0" w:before="0" w:line="250" w:lineRule="auto"/>
            </w:pPr>
            <w:r>
              <w:rPr>
                <w:b w:val="0"/>
                <w:color w:val="000000"/>
                <w:sz w:val="21"/>
              </w:rPr>
              <w:t>Shape the starting self record, explain meaning, review corrections and participate in decisions with the appropriate support.</w:t>
            </w:r>
          </w:p>
        </w:tc>
      </w:tr>
      <w:tr>
        <w:trPr>
          <w:cantSplit/>
        </w:trPr>
        <w:tc>
          <w:tcPr>
            <w:tcW w:type="dxa" w:w="2376"/>
            <w:vAlign w:val="center"/>
            <w:shd w:fill="F2F4F5"/>
          </w:tcPr>
          <w:p>
            <w:pPr>
              <w:spacing w:after="0" w:before="0" w:line="250" w:lineRule="auto"/>
            </w:pPr>
            <w:r>
              <w:rPr>
                <w:b w:val="0"/>
                <w:color w:val="000000"/>
                <w:sz w:val="21"/>
              </w:rPr>
              <w:t>Family friends and unpaid carers</w:t>
            </w:r>
          </w:p>
        </w:tc>
        <w:tc>
          <w:tcPr>
            <w:tcW w:type="dxa" w:w="7618"/>
            <w:vAlign w:val="center"/>
            <w:shd w:fill="F2F4F5"/>
          </w:tcPr>
          <w:p>
            <w:pPr>
              <w:spacing w:after="0" w:before="0" w:line="250" w:lineRule="auto"/>
            </w:pPr>
            <w:r>
              <w:rPr>
                <w:b w:val="0"/>
                <w:color w:val="000000"/>
                <w:sz w:val="21"/>
              </w:rPr>
              <w:t>Contribute knowledge or practical help by agreement, while retaining their own needs, boundaries and personal information.</w:t>
            </w:r>
          </w:p>
        </w:tc>
      </w:tr>
      <w:tr>
        <w:trPr>
          <w:cantSplit/>
        </w:trPr>
        <w:tc>
          <w:tcPr>
            <w:tcW w:type="dxa" w:w="2376"/>
            <w:vAlign w:val="center"/>
            <w:shd w:fill="FFFFFF"/>
          </w:tcPr>
          <w:p>
            <w:pPr>
              <w:spacing w:after="0" w:before="0" w:line="250" w:lineRule="auto"/>
            </w:pPr>
            <w:r>
              <w:rPr>
                <w:b w:val="0"/>
                <w:color w:val="000000"/>
                <w:sz w:val="21"/>
              </w:rPr>
              <w:t>Paid workers and registered providers</w:t>
            </w:r>
          </w:p>
        </w:tc>
        <w:tc>
          <w:tcPr>
            <w:tcW w:type="dxa" w:w="7618"/>
            <w:vAlign w:val="center"/>
            <w:shd w:fill="FFFFFF"/>
          </w:tcPr>
          <w:p>
            <w:pPr>
              <w:spacing w:after="0" w:before="0" w:line="250" w:lineRule="auto"/>
            </w:pPr>
            <w:r>
              <w:rPr>
                <w:b w:val="0"/>
                <w:color w:val="000000"/>
                <w:sz w:val="21"/>
              </w:rPr>
              <w:t>Deliver agreed supports within their role, maintain required service records and follow their quality, incident and complaints arrangements.</w:t>
            </w:r>
          </w:p>
        </w:tc>
      </w:tr>
      <w:tr>
        <w:trPr>
          <w:cantSplit/>
        </w:trPr>
        <w:tc>
          <w:tcPr>
            <w:tcW w:type="dxa" w:w="2376"/>
            <w:vAlign w:val="center"/>
            <w:shd w:fill="F2F4F5"/>
          </w:tcPr>
          <w:p>
            <w:pPr>
              <w:spacing w:after="0" w:before="0" w:line="250" w:lineRule="auto"/>
            </w:pPr>
            <w:r>
              <w:rPr>
                <w:b w:val="0"/>
                <w:color w:val="000000"/>
                <w:sz w:val="21"/>
              </w:rPr>
              <w:t>Clinical and research professionals</w:t>
            </w:r>
          </w:p>
        </w:tc>
        <w:tc>
          <w:tcPr>
            <w:tcW w:type="dxa" w:w="7618"/>
            <w:vAlign w:val="center"/>
            <w:shd w:fill="F2F4F5"/>
          </w:tcPr>
          <w:p>
            <w:pPr>
              <w:spacing w:after="0" w:before="0" w:line="250" w:lineRule="auto"/>
            </w:pPr>
            <w:r>
              <w:rPr>
                <w:b w:val="0"/>
                <w:color w:val="000000"/>
                <w:sz w:val="21"/>
              </w:rPr>
              <w:t>Assess clinical needs, supervise relevant interventions and carry the professional or research responsibilities assigned to them.</w:t>
            </w:r>
          </w:p>
        </w:tc>
      </w:tr>
      <w:tr>
        <w:trPr>
          <w:cantSplit/>
        </w:trPr>
        <w:tc>
          <w:tcPr>
            <w:tcW w:type="dxa" w:w="2376"/>
            <w:vAlign w:val="center"/>
            <w:shd w:fill="FFFFFF"/>
          </w:tcPr>
          <w:p>
            <w:pPr>
              <w:spacing w:after="0" w:before="0" w:line="250" w:lineRule="auto"/>
            </w:pPr>
            <w:r>
              <w:rPr>
                <w:b w:val="0"/>
                <w:color w:val="000000"/>
                <w:sz w:val="21"/>
              </w:rPr>
              <w:t>Agencies considering service or funding arrangements</w:t>
            </w:r>
          </w:p>
        </w:tc>
        <w:tc>
          <w:tcPr>
            <w:tcW w:type="dxa" w:w="7618"/>
            <w:vAlign w:val="center"/>
            <w:shd w:fill="FFFFFF"/>
          </w:tcPr>
          <w:p>
            <w:pPr>
              <w:spacing w:after="0" w:before="0" w:line="250" w:lineRule="auto"/>
            </w:pPr>
            <w:r>
              <w:rPr>
                <w:b w:val="0"/>
                <w:color w:val="000000"/>
                <w:sz w:val="21"/>
              </w:rPr>
              <w:t>Assess the defined proposal against their remit, evidence requirements, costs, eligibility and accountability arrangements.</w:t>
            </w:r>
          </w:p>
        </w:tc>
      </w:tr>
    </w:tbl>
    <w:p>
      <w:pPr>
        <w:spacing w:after="0"/>
      </w:pPr>
    </w:p>
    <w:p>
      <w:pPr>
        <w:pStyle w:val="Heading2"/>
      </w:pPr>
      <w:r>
        <w:t>A handover someone is able to use</w:t>
      </w:r>
    </w:p>
    <w:p>
      <w:r>
        <w:t>The intended handover is relevant to the encounter. A new worker may need a communication preference and two activities the person enjoys. A professional checks important clinical details against the original source and their own assessment. The full personal archive has a wider purpose and a more specific access arrangement.</w:t>
      </w:r>
    </w:p>
    <w:p>
      <w:r>
        <w:t>Registered NDIS providers are organisations or people registered under that scheme for specified services; applicable Practice Standards govern their work. Aged care providers have their own service requirements, including standards addressing individual care, safety and organisational accountability. An Aura offer needs to identify how it fits those duties. Training to facilitate an Aura introduction does not confer professional registration. [R11-R12]</w:t>
      </w:r>
    </w:p>
    <w:p>
      <w:pPr>
        <w:pStyle w:val="Heading2"/>
      </w:pPr>
      <w:r>
        <w:t>A carer has a whole life too</w:t>
      </w:r>
    </w:p>
    <w:p>
      <w:r>
        <w:t>An archive takes effort to prepare and maintain. Evaluation records whether it reduces repeated explanations, adds administrative work or shifts a burden to a family member. A relative is free to decline that role. Respite, paid assistance and reliable human support remain practical arrangements to secure.</w:t>
      </w:r>
    </w:p>
    <w:p>
      <w:r>
        <w:t>A concern raised through software reaches an identified person in the service process, with an appropriate record of follow-up. The person and supporters have a named contact for help. Dependability is demonstrated when the next encounter reflects a correction and the responsible person receives and responds to a concern.</w:t>
      </w:r>
    </w:p>
    <w:p>
      <w:pPr>
        <w:pStyle w:val="Heading1"/>
        <w:pageBreakBefore/>
      </w:pPr>
      <w:r>
        <w:t>Consent clinical safety and participant protection</w:t>
      </w:r>
    </w:p>
    <w:p>
      <w:r>
        <w:t>Before recruitment, the proposed clinical programme establishes a clinical lead, qualified practitioners, an accountable provider and a trial sponsor. The sponsor takes responsibility for initiating and managing the research and arranging its funding. Written roles, insurance, safety procedures and incident arrangements identify who answers for each part of the study. These are arrangements to establish for an actual invitation. [P3, R31]</w:t>
      </w:r>
    </w:p>
    <w:p>
      <w:pPr>
        <w:pStyle w:val="Heading2"/>
      </w:pPr>
      <w:r>
        <w:t>Understanding a particular decision</w:t>
      </w:r>
    </w:p>
    <w:p>
      <w:r>
        <w:t>Decision making capacity concerns understanding the nature and effect of a particular choice and communicating a decision, with appropriate support. A diagnosis alone does not settle every choice. Explanations use accessible language, communication assistance and time. The person identifies trusted supporters where possible, and understanding and agreement are revisited as circumstances change.</w:t>
      </w:r>
    </w:p>
    <w:p>
      <w:r>
        <w:t>Participation is explained through concrete examples. The person sees what a recording contains, which activity is being proposed, who receives access and what happens if they stop. Consent to an ordinary collection, a clinical intervention, research, model training and outward publication concerns different purposes. The relevant choices and lawful authority are established for each.</w:t>
      </w:r>
    </w:p>
    <w:p>
      <w:pPr>
        <w:pStyle w:val="Heading2"/>
      </w:pPr>
      <w:r>
        <w:t>Research review before enrolment</w:t>
      </w:r>
    </w:p>
    <w:p>
      <w:r>
        <w:t>A Human Research Ethics Committee independently reviews a study's ethical acceptability, including risks, consent and participant protection. Planned clinical studies need its approval and permission from the organisation hosting the research, called site authorisation. The National Statement on Ethical Conduct in Human Research provides Australian ethics guidance. Approval permits specified research; it does not demonstrate that the intervention works. [R28, R31]</w:t>
      </w:r>
    </w:p>
    <w:p>
      <w:r>
        <w:t>The Queensland Civil and Administrative Tribunal (QCAT) has specific pathways for certain research involving adults with impaired decision making capacity. Tribunal approval of qualifying research is distinct from lawful authority to consent for an individual. Family relationship or an enduring power of attorney alone does not settle every research decision. Current wishes, objection and the applicable law receive attention before and during participation. [R32-R33]</w:t>
      </w:r>
    </w:p>
    <w:p>
      <w:pPr>
        <w:pStyle w:val="Heading2"/>
      </w:pPr>
      <w:r>
        <w:t>A practical safety process</w:t>
      </w:r>
    </w:p>
    <w:p>
      <w:r>
        <w:t>Before a clinical activity, the team assesses health, medication, foreseeable risks, communication and support needs. The written study plan describes monitoring, reasons to stop, emergency response and follow-up. It also defines reporting of adverse events: unwanted medical events during participation, whether or not caused by the intervention. Staff know who responds and how concerns reach them. [P3, R31]</w:t>
      </w:r>
    </w:p>
    <w:p>
      <w:r>
        <w:t>New pain, sudden deterioration or distress receives appropriate clinical assessment. The person's present response guides what happens next. Independent complaints and advocacy routes are explained in an accessible form, and decisions about existing care remain separate from choices about research participation.</w:t>
      </w:r>
    </w:p>
    <w:p>
      <w:r>
        <w:t>These processes give the person and their supporters a concrete basis for deciding whether an invitation fits. The purpose, burden, costs, responsible people and available alternatives are understandable before agreement is sought.</w:t>
      </w:r>
    </w:p>
    <w:p>
      <w:pPr>
        <w:pStyle w:val="Heading1"/>
        <w:pageBreakBefore/>
      </w:pPr>
      <w:r>
        <w:t>Personal records privacy and continuing access</w:t>
      </w:r>
    </w:p>
    <w:p>
      <w:r>
        <w:t>A record of a person's life includes intimate material about them and information about other people. The proposed service explains where it is held, who operates the system, who has access and what happens through a change of device, provider or care arrangement. Those answers are part of a dependable service.</w:t>
      </w:r>
    </w:p>
    <w:p>
      <w:pPr>
        <w:pStyle w:val="Heading2"/>
      </w:pPr>
      <w:r>
        <w:t>Permission follows the purpose</w:t>
      </w:r>
    </w:p>
    <w:p>
      <w:r>
        <w:t>An image shared for a private visit has an audience and purpose. Publishing it, using it in research or training a personal model involves additional decisions. The person receives an understandable account of those uses and support for agreement. Summaries made from original records and model development also need information boundaries that are implemented and tested. [P4]</w:t>
      </w:r>
    </w:p>
    <w:p>
      <w:r>
        <w:t>Health information follows the privacy law and duties applicable to the provider and setting. Access authority is checked when appointments, capacity or care responsibilities change. The Office of the Australian Information Commissioner (OAIC), the national privacy regulator, publishes guidance on disclosure involving impaired capacity. That guidance helps identify relevant questions; each service confirms the rules applying to its own role. [R26]</w:t>
      </w:r>
    </w:p>
    <w:p>
      <w:pPr>
        <w:pStyle w:val="Heading2"/>
      </w:pPr>
      <w:r>
        <w:t>A private environment in practice</w:t>
      </w:r>
    </w:p>
    <w:p>
      <w:r>
        <w:t>The Aura term Level Zero, shortened to L0, describes the person and their controlled private environment. The practical arrangement identifies the devices, storage operators, permitted access and recovery processes. A label in a design is made meaningful through those implemented controls. [P2, P4]</w:t>
      </w:r>
    </w:p>
    <w:p>
      <w:r>
        <w:t>Matrix Studio currently saves information through the web browser and offers downloadable copies. Its documentation identifies limits in protection and readiness for sensitive clinical information. A clinical service would need a suitably protected environment, access controls and tested recovery arrangements. Secure storage, permissions and integration remain development work to complete before relying on them in care. [P8]</w:t>
      </w:r>
    </w:p>
    <w:p>
      <w:pPr>
        <w:pStyle w:val="Heading2"/>
      </w:pPr>
      <w:r>
        <w:t>Keep useful access through change</w:t>
      </w:r>
    </w:p>
    <w:p>
      <w:r>
        <w:t>The design includes transfer of selected photographs, recordings and readable stories with their useful context. A backup is tested by opening it and finding chosen material. A simple album or printable account offers access when a specialised viewer is unavailable.</w:t>
      </w:r>
    </w:p>
    <w:p>
      <w:r>
        <w:t>A care facility and the person agree how a display is used, who maintains access and what happens after departure. Shared rooms and spoken responses are considered in the actual environment. Someone is identified to help with a correction, access problem or loss.</w:t>
      </w:r>
    </w:p>
    <w:p>
      <w:r>
        <w:t>Withdrawal, deletion and lawful retention are explained honestly, including the limits that apply to completed research or required care records. A correction reaches the working account with its history preserved. The aim is a life record the person and their chosen supporters have a practical basis for trusting.</w:t>
      </w:r>
    </w:p>
    <w:p>
      <w:pPr>
        <w:pStyle w:val="Heading1"/>
        <w:pageBreakBefore/>
      </w:pPr>
      <w:r>
        <w:t>Understanding law and the context behind decisions</w:t>
      </w:r>
    </w:p>
    <w:p>
      <w:r>
        <w:t>Law affects daily care through rights, responsibilities, consent, information access and service eligibility. A law, a facility policy, a service agreement and a family preference have different sources and effects. Understanding that context helps a person ask a clearer question and identify who is responsible for answering it.</w:t>
      </w:r>
    </w:p>
    <w:p>
      <w:pPr>
        <w:pStyle w:val="Heading2"/>
      </w:pPr>
      <w:r>
        <w:t>Start with personal circumstances</w:t>
      </w:r>
    </w:p>
    <w:p>
      <w:r>
        <w:t>Aura's public Your Relevance questionnaire asks about everyday circumstances to help prepare a legal research brief. A person might describe where they live, what they do, who they care for and the issue they want explained. Broad descriptions are enough for an initial question. The output helps someone or an AI organise further research; it does not decide the person's legal position. [P5]</w:t>
      </w:r>
    </w:p>
    <w:p>
      <w:r>
        <w:t>For someone considering care, the question might involve a consent form, a service letter, a proposed restriction or access to a personal record. The Aura helps assemble the relevant material and retain the question, sources and response in an understandable account. Explanations follow the adult's communication and cognitive needs.</w:t>
      </w:r>
    </w:p>
    <w:p>
      <w:pPr>
        <w:pStyle w:val="Heading2"/>
      </w:pPr>
      <w:r>
        <w:t>Origins and effects carried forward</w:t>
      </w:r>
    </w:p>
    <w:p>
      <w:r>
        <w:t>Legal learning asks how a rule arose, which circumstances it addressed and what its continuing effects are. That helps distinguish an inherited practice from a current legal requirement, and an organisation's policy from a person's rights. A question about the reason for a rule opens a route to the source and the appropriate explanation.</w:t>
      </w:r>
    </w:p>
    <w:p>
      <w:r>
        <w:t>The Australian Law 2012 collection provides historical legal material for this learning project. Current decisions need the operative law, jurisdiction, date and circumstances checked. The associated legal engine is a software development proposal for finding and organising legal sources and preparing questions. Its development and any integration with personal Aura support require their own clear account. [P5-P6]</w:t>
      </w:r>
    </w:p>
    <w:p>
      <w:pPr>
        <w:pStyle w:val="Heading2"/>
      </w:pPr>
      <w:r>
        <w:t>Support an informed decision</w:t>
      </w:r>
    </w:p>
    <w:p>
      <w:r>
        <w:t>The person receives time and assistance to understand the issue and consider choices. A supporter, attorney, guardian or other appointed person has the authority established by the relevant law and appointment. A current personal preference and a formal legal direction remain distinguishable in the record.</w:t>
      </w:r>
    </w:p>
    <w:p>
      <w:r>
        <w:t>In Queensland, an enduring power of attorney appoints someone for specified personal or financial decisions under legal conditions. An advance health directive records formal instructions about future health care. Their purposes and legal processes differ. Aura proposes keeping approved copies and contacts accessible; the documents and law govern their use. An advocate or qualified legal adviser assists with an individual matter. [R25]</w:t>
      </w:r>
    </w:p>
    <w:p>
      <w:r>
        <w:t>The intended benefit is a more informed and supported relationship with the system. A person has a way to request a source, seek an independent explanation and follow how their concern reaches someone with responsibility for it.</w:t>
      </w:r>
    </w:p>
    <w:p>
      <w:pPr>
        <w:pStyle w:val="Heading1"/>
        <w:pageBreakBefore/>
      </w:pPr>
      <w:r>
        <w:t>The planned clinical and SaMD pathway</w:t>
      </w:r>
    </w:p>
    <w:p>
      <w:r>
        <w:t>Aura's dementia research plan includes a pathway for Software as a Medical Device, abbreviated SaMD. This is software intended to perform a medical purpose, such as supporting clinical monitoring or treatment decisions. The proposed clinical functions connect personal narratives and everyday observations with professional review, then test whether defined outputs offer reliable clinical value. [P3]</w:t>
      </w:r>
    </w:p>
    <w:p>
      <w:pPr>
        <w:pStyle w:val="Heading2"/>
      </w:pPr>
      <w:r>
        <w:t>Define the function and the intended people</w:t>
      </w:r>
    </w:p>
    <w:p>
      <w:r>
        <w:t>The Therapeutic Goods Administration (TGA) regulates medical products in Australia. For software, its intended purpose means the medical job it is designed or claimed to perform. That purpose, its users and risks determine the applicable regulatory category and whether an exclusion or exemption applies. Organising general information and interpreting symptoms for treatment decisions raise different requirements. [R27, R30]</w:t>
      </w:r>
    </w:p>
    <w:p>
      <w:r>
        <w:t>An understandable description identifies the particular input, output and decision being supported. For example, organising observations for review is a different intended function from recommending a treatment. That distinction makes the evidence question clearer and tells a clinician what responsibility the software is being offered to support.</w:t>
      </w:r>
    </w:p>
    <w:p>
      <w:pPr>
        <w:pStyle w:val="Heading2"/>
      </w:pPr>
      <w:r>
        <w:t>Quality management made practical</w:t>
      </w:r>
    </w:p>
    <w:p>
      <w:r>
        <w:t>Quality management means documented processes for designing, checking, changing and maintaining a dependable product. The planned work records each function, tests it against its design and assesses suitability for intended use. It also examines accessibility, ease of use, protection from unauthorised access and clinical evidence. Foreseeable failures and changes are reviewed against the purpose and risks of the version in use. [P3, R27]</w:t>
      </w:r>
    </w:p>
    <w:p>
      <w:r>
        <w:t>An incorrect association between a person and a record, a missing observation or an unclear instruction has practical consequences. Testing therefore includes how an error is detected, how it reaches a responsible person and how the service continues when a function is unavailable. The person and worker also need an understandable account of uncertainty.</w:t>
      </w:r>
    </w:p>
    <w:p>
      <w:pPr>
        <w:pStyle w:val="Heading2"/>
      </w:pPr>
      <w:r>
        <w:t>Clinical evidence and regulated supply</w:t>
      </w:r>
    </w:p>
    <w:p>
      <w:r>
        <w:t>AI medical software needs evidence that is sufficiently transparent for safety and performance to be evaluated. Clinical validation concerns its intended purpose and population. The development plan therefore tests relevant performance, clinical usefulness, errors and bias, alongside the experience of using the interface. [R30]</w:t>
      </w:r>
    </w:p>
    <w:p>
      <w:r>
        <w:t>For regulated supply, developers need evidence against the Essential Principles, the safety and performance requirements for medical devices. Applicable conformity assessment checks how those requirements are met. Inclusion in the Australian Register of Therapeutic Goods, the national register for regulated products, is also needed unless an exemption applies. Safety monitoring, incident reporting and review of software changes continue after release. [R27]</w:t>
      </w:r>
    </w:p>
    <w:p>
      <w:r>
        <w:t>The material reviewed describes this clinical development route. It does not report completed clinical trials or regulatory approval for the proposed medical functions. The present public prototype and the planned clinical product each receive a clear account of their actual functions and stage of development.</w:t>
      </w:r>
    </w:p>
    <w:p>
      <w:pPr>
        <w:pStyle w:val="Heading1"/>
        <w:pageBreakBefore/>
      </w:pPr>
      <w:r>
        <w:t>The staged research strategy and measures of benefit</w:t>
      </w:r>
    </w:p>
    <w:p>
      <w:r>
        <w:t>The strategy begins with a defined use, then asks progressively stronger questions about safety, practicality and benefit. A study of an accessible personal record has a different question from a study of HBOT or a Truth Engine research task. Each clinical claim is linked to evidence designed to assess it. [P3-P4]</w:t>
      </w:r>
    </w:p>
    <w:p>
      <w:pPr>
        <w:pStyle w:val="Heading2"/>
      </w:pPr>
      <w:r>
        <w:t>First establish feasibility</w:t>
      </w:r>
    </w:p>
    <w:p>
      <w:r>
        <w:t>The existing dementia research plan proposes 10 to 15 person and carer pairs using the system at home for four to six weeks. The first questions concern acceptability, usability, burden and practical safety. Participant criteria, the final protocol and recruitment follow clinical and ethics review. [P3]</w:t>
      </w:r>
    </w:p>
    <w:p>
      <w:r>
        <w:t>Feasibility means whether the proposed activity is practical and acceptable. This first study would examine whether onboarding produces a recognisable starting self, whether people find and correct material, and whether an activity fits daily life. It records help required and reasons for stopping. Those findings guide the next design decision rather than establishing every possible Aura benefit.</w:t>
      </w:r>
    </w:p>
    <w:p>
      <w:pPr>
        <w:pStyle w:val="Heading2"/>
      </w:pPr>
      <w:r>
        <w:t>Refine the pilot and test effectiveness</w:t>
      </w:r>
    </w:p>
    <w:p>
      <w:r>
        <w:t>A subsequent pilot, an initial study at one care or research location, would refine recruitment, assessment and delivery while estimating potential effects. A larger study across several locations would test effectiveness, costs and longer term outcomes against an appropriate comparison, such as usual care. Results and approvals at each stage determine the next step. [P3]</w:t>
      </w:r>
    </w:p>
    <w:p>
      <w:r>
        <w:t>Research involving unapproved therapeutic goods uses the applicable TGA Clinical Trial Notification or Clinical Trial Approval pathway. These provide legal routes for supplying those goods in a trial. Notification does not mean TGA evaluation of the study data or approval of its clinical claims. Ethics review, site permission and the sponsor's duties remain separate requirements. [R31]</w:t>
      </w:r>
    </w:p>
    <w:p>
      <w:pPr>
        <w:pStyle w:val="Heading2"/>
      </w:pPr>
      <w:r>
        <w:t>Match outcomes to the purpose</w:t>
      </w:r>
    </w:p>
    <w:p>
      <w:r>
        <w:t>Personal goals are reviewed alongside clinical assessment tools studied for suitability and accuracy for their intended use. Outcomes might concern daily activities, quality of life, expression of preferences or a move. The effects on carers' workload and wellbeing, unwanted experiences, staff time and differences between participants also matter. Each measure answers a defined question. [P3]</w:t>
      </w:r>
    </w:p>
    <w:p>
      <w:r>
        <w:t>A memory palace study might ask whether a resident finds a visit meaningful, whether conversation changes and whether the activity causes distress. A clinical software study tests the reliability and usefulness of its defined output. HBOT and other interventions require their own questions and outcome measures.</w:t>
      </w:r>
    </w:p>
    <w:p>
      <w:r>
        <w:t>An agency also needs an account of delivery costs and actual resource use. The evaluation records what took place, who supplied support and where the activity added work. Findings then support a precise description of benefit and a justified decision about extending the service.</w:t>
      </w:r>
    </w:p>
    <w:p>
      <w:pPr>
        <w:pStyle w:val="Heading1"/>
        <w:pageBreakBefore/>
      </w:pPr>
      <w:r>
        <w:t>NDIS aged care and funding transitions</w:t>
      </w:r>
    </w:p>
    <w:p>
      <w:r>
        <w:t>The person's life continues across funding boundaries. Aura is intended to retain useful context when support changes, while the actual programme determines eligibility, approved services and payment. Clinical care, disability supports, aged care, research and privately funded activities have different arrangements.</w:t>
      </w:r>
    </w:p>
    <w:p>
      <w:pPr>
        <w:pStyle w:val="Heading2"/>
      </w:pPr>
      <w:r>
        <w:t>The disability support pathway</w:t>
      </w:r>
    </w:p>
    <w:p>
      <w:r>
        <w:t>The National Disability Insurance Scheme, or NDIS, funds eligible disability supports under its rules. An applicant needs to be under 65 when applying. Existing participants have the choice to remain in the scheme after 65; permanent entry to residential aged care after 65 requires leaving it. Other eligibility requirements also apply. [R17, R22]</w:t>
      </w:r>
    </w:p>
    <w:p>
      <w:r>
        <w:t>A proposed Aura support needs to address the relevant disability related need and fit the funding rules. Assistive technology decisions consider evidence, risk, value and the responsibilities of other service systems. A diagnosis or interest in a technology does not by itself establish funding for a particular item. [R16]</w:t>
      </w:r>
    </w:p>
    <w:p>
      <w:pPr>
        <w:pStyle w:val="Heading2"/>
      </w:pPr>
      <w:r>
        <w:t>The aged care pathway</w:t>
      </w:r>
    </w:p>
    <w:p>
      <w:r>
        <w:t>My Aged Care is the government entry point for aged care assessment and services. Assessment access generally begins at 65, with specified pathways from 50 for Aboriginal and Torres Strait Islander people and people who are homeless or at risk of homelessness. Needs and circumstances also matter. [R18]</w:t>
      </w:r>
    </w:p>
    <w:p>
      <w:r>
        <w:t>Support at Home, introduced in November 2025, funds assessed aged care services to help people live at home. Its Assistive Technology and Home Modifications scheme provides separate assessed funding for eligible equipment and changes to the home. Relevant practitioners may be involved. An Aura proposal needs to fit the actual programme rules, assessment and support being requested. [R19-R20]</w:t>
      </w:r>
    </w:p>
    <w:p>
      <w:pPr>
        <w:pStyle w:val="Heading2"/>
      </w:pPr>
      <w:r>
        <w:t>A transparent arrangement before participation</w:t>
      </w:r>
    </w:p>
    <w:p>
      <w:r>
        <w:t>The proposed activity identifies who is paying, what is included and what further costs might arise. Research funding and demonstration costs are identified separately from the person's ongoing care budget. Medical device regulation, provider registration and individual funding approval are separate processes.</w:t>
      </w:r>
    </w:p>
    <w:p>
      <w:r>
        <w:t>A clinical intervention such as HBOT has its own clinical and payment arrangements. The proposal does not represent automatic NDIS or aged care funding for Aura or its intensive adult programme. The responsible organisation confirms a concrete offer against the relevant rules before asking the person to agree.</w:t>
      </w:r>
    </w:p>
    <w:p>
      <w:r>
        <w:t>When services change, the person and relevant professionals settle what information follows, who receives access and which responsibilities transfer. The personal life record offers continuity, while the actual funding and care arrangements remain clear to everyone involved.</w:t>
      </w:r>
    </w:p>
    <w:p>
      <w:pPr>
        <w:pStyle w:val="Heading1"/>
        <w:pageBreakBefore/>
      </w:pPr>
      <w:r>
        <w:t>Population context and a local Queensland beginning</w:t>
      </w:r>
    </w:p>
    <w:p>
      <w:r>
        <w:t>The need spans adults with disability, families adapting to dementia and older people whose support is increasing. Population data from the Australian Bureau of Statistics (ABS) helps describe the setting for planning. Individual circumstances and assessment determine who a particular support fits.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0" w:type="dxa"/>
          <w:right w:w="100" w:type="dxa"/>
        </w:tblCellMar>
      </w:tblPr>
      <w:tblGrid>
        <w:gridCol w:w="2232"/>
        <w:gridCol w:w="2045"/>
        <w:gridCol w:w="5717"/>
      </w:tblGrid>
      <w:tr>
        <w:trPr>
          <w:cantSplit/>
          <w:tblHeader/>
        </w:trPr>
        <w:tc>
          <w:tcPr>
            <w:tcW w:type="dxa" w:w="2232"/>
            <w:vAlign w:val="center"/>
            <w:shd w:fill="333B42"/>
          </w:tcPr>
          <w:p>
            <w:pPr>
              <w:spacing w:after="0" w:before="0" w:line="250" w:lineRule="auto"/>
            </w:pPr>
            <w:r>
              <w:rPr>
                <w:b/>
                <w:color w:val="FFFFFF"/>
                <w:sz w:val="21"/>
              </w:rPr>
              <w:t>Area</w:t>
            </w:r>
          </w:p>
        </w:tc>
        <w:tc>
          <w:tcPr>
            <w:tcW w:type="dxa" w:w="2045"/>
            <w:vAlign w:val="center"/>
            <w:shd w:fill="333B42"/>
          </w:tcPr>
          <w:p>
            <w:pPr>
              <w:spacing w:after="0" w:before="0" w:line="250" w:lineRule="auto"/>
            </w:pPr>
            <w:r>
              <w:rPr>
                <w:b/>
                <w:color w:val="FFFFFF"/>
                <w:sz w:val="21"/>
              </w:rPr>
              <w:t>Population</w:t>
            </w:r>
          </w:p>
        </w:tc>
        <w:tc>
          <w:tcPr>
            <w:tcW w:type="dxa" w:w="5717"/>
            <w:vAlign w:val="center"/>
            <w:shd w:fill="333B42"/>
          </w:tcPr>
          <w:p>
            <w:pPr>
              <w:spacing w:after="0" w:before="0" w:line="250" w:lineRule="auto"/>
            </w:pPr>
            <w:r>
              <w:rPr>
                <w:b/>
                <w:color w:val="FFFFFF"/>
                <w:sz w:val="21"/>
              </w:rPr>
              <w:t>Reference and scope</w:t>
            </w:r>
          </w:p>
        </w:tc>
      </w:tr>
      <w:tr>
        <w:trPr>
          <w:cantSplit/>
        </w:trPr>
        <w:tc>
          <w:tcPr>
            <w:tcW w:type="dxa" w:w="2232"/>
            <w:vAlign w:val="center"/>
            <w:shd w:fill="FFFFFF"/>
          </w:tcPr>
          <w:p>
            <w:pPr>
              <w:spacing w:after="0" w:before="0" w:line="250" w:lineRule="auto"/>
            </w:pPr>
            <w:r>
              <w:rPr>
                <w:b w:val="0"/>
                <w:color w:val="000000"/>
                <w:sz w:val="21"/>
              </w:rPr>
              <w:t>Greater Brisbane</w:t>
            </w:r>
          </w:p>
        </w:tc>
        <w:tc>
          <w:tcPr>
            <w:tcW w:type="dxa" w:w="2045"/>
            <w:vAlign w:val="center"/>
            <w:shd w:fill="FFFFFF"/>
          </w:tcPr>
          <w:p>
            <w:pPr>
              <w:spacing w:after="0" w:before="0" w:line="250" w:lineRule="auto"/>
              <w:jc w:val="right"/>
            </w:pPr>
            <w:r>
              <w:rPr>
                <w:b w:val="0"/>
                <w:color w:val="000000"/>
                <w:sz w:val="21"/>
              </w:rPr>
              <w:t>2,833,524</w:t>
            </w:r>
          </w:p>
        </w:tc>
        <w:tc>
          <w:tcPr>
            <w:tcW w:type="dxa" w:w="5717"/>
            <w:vAlign w:val="center"/>
            <w:shd w:fill="FFFFFF"/>
          </w:tcPr>
          <w:p>
            <w:pPr>
              <w:spacing w:after="0" w:before="0" w:line="250" w:lineRule="auto"/>
            </w:pPr>
            <w:r>
              <w:rPr>
                <w:b w:val="0"/>
                <w:color w:val="000000"/>
                <w:sz w:val="21"/>
              </w:rPr>
              <w:t>ABS estimate at 30 June 2025 for the greater capital city area. [R2]</w:t>
            </w:r>
          </w:p>
        </w:tc>
      </w:tr>
      <w:tr>
        <w:trPr>
          <w:cantSplit/>
        </w:trPr>
        <w:tc>
          <w:tcPr>
            <w:tcW w:type="dxa" w:w="2232"/>
            <w:vAlign w:val="center"/>
            <w:shd w:fill="F2F4F5"/>
          </w:tcPr>
          <w:p>
            <w:pPr>
              <w:spacing w:after="0" w:before="0" w:line="250" w:lineRule="auto"/>
            </w:pPr>
            <w:r>
              <w:rPr>
                <w:b w:val="0"/>
                <w:color w:val="000000"/>
                <w:sz w:val="21"/>
              </w:rPr>
              <w:t>South East Queensland</w:t>
            </w:r>
          </w:p>
        </w:tc>
        <w:tc>
          <w:tcPr>
            <w:tcW w:type="dxa" w:w="2045"/>
            <w:vAlign w:val="center"/>
            <w:shd w:fill="F2F4F5"/>
          </w:tcPr>
          <w:p>
            <w:pPr>
              <w:spacing w:after="0" w:before="0" w:line="250" w:lineRule="auto"/>
              <w:jc w:val="right"/>
            </w:pPr>
            <w:r>
              <w:rPr>
                <w:b w:val="0"/>
                <w:color w:val="000000"/>
                <w:sz w:val="21"/>
              </w:rPr>
              <w:t>About 4 million</w:t>
            </w:r>
          </w:p>
        </w:tc>
        <w:tc>
          <w:tcPr>
            <w:tcW w:type="dxa" w:w="5717"/>
            <w:vAlign w:val="center"/>
            <w:shd w:fill="F2F4F5"/>
          </w:tcPr>
          <w:p>
            <w:pPr>
              <w:spacing w:after="0" w:before="0" w:line="250" w:lineRule="auto"/>
            </w:pPr>
            <w:r>
              <w:rPr>
                <w:b w:val="0"/>
                <w:color w:val="000000"/>
                <w:sz w:val="21"/>
              </w:rPr>
              <w:t>Rounded regional figure in KPMG analysis of ABS data, published 1 December 2025. [R3]</w:t>
            </w:r>
          </w:p>
        </w:tc>
      </w:tr>
      <w:tr>
        <w:trPr>
          <w:cantSplit/>
        </w:trPr>
        <w:tc>
          <w:tcPr>
            <w:tcW w:type="dxa" w:w="2232"/>
            <w:vAlign w:val="center"/>
            <w:shd w:fill="FFFFFF"/>
          </w:tcPr>
          <w:p>
            <w:pPr>
              <w:spacing w:after="0" w:before="0" w:line="250" w:lineRule="auto"/>
            </w:pPr>
            <w:r>
              <w:rPr>
                <w:b w:val="0"/>
                <w:color w:val="000000"/>
                <w:sz w:val="21"/>
              </w:rPr>
              <w:t>Australia</w:t>
            </w:r>
          </w:p>
        </w:tc>
        <w:tc>
          <w:tcPr>
            <w:tcW w:type="dxa" w:w="2045"/>
            <w:vAlign w:val="center"/>
            <w:shd w:fill="FFFFFF"/>
          </w:tcPr>
          <w:p>
            <w:pPr>
              <w:spacing w:after="0" w:before="0" w:line="250" w:lineRule="auto"/>
              <w:jc w:val="right"/>
            </w:pPr>
            <w:r>
              <w:rPr>
                <w:b w:val="0"/>
                <w:color w:val="000000"/>
                <w:sz w:val="21"/>
              </w:rPr>
              <w:t>27,921,150</w:t>
            </w:r>
          </w:p>
        </w:tc>
        <w:tc>
          <w:tcPr>
            <w:tcW w:type="dxa" w:w="5717"/>
            <w:vAlign w:val="center"/>
            <w:shd w:fill="FFFFFF"/>
          </w:tcPr>
          <w:p>
            <w:pPr>
              <w:spacing w:after="0" w:before="0" w:line="250" w:lineRule="auto"/>
            </w:pPr>
            <w:r>
              <w:rPr>
                <w:b w:val="0"/>
                <w:color w:val="000000"/>
                <w:sz w:val="21"/>
              </w:rPr>
              <w:t>ABS estimate at 31 March 2026, released 17 September 2026. [R1]</w:t>
            </w:r>
          </w:p>
        </w:tc>
      </w:tr>
    </w:tbl>
    <w:p>
      <w:pPr>
        <w:spacing w:after="0"/>
      </w:pPr>
    </w:p>
    <w:p>
      <w:r>
        <w:t>Greater Brisbane extends beyond Brisbane City Council. South East Queensland covers a broader region; the rounded figure comes from analysis of ABS data by professional services firm KPMG. It has a different reference basis from the dated ABS estimates. These figures describe the planning setting, rather than prospective Aura participation. [R3]</w:t>
      </w:r>
    </w:p>
    <w:p>
      <w:pPr>
        <w:pStyle w:val="Heading2"/>
      </w:pPr>
      <w:r>
        <w:t>Dementia and disability across adult life</w:t>
      </w:r>
    </w:p>
    <w:p>
      <w:r>
        <w:t>The Australian Institute of Health and Welfare (AIHW) estimates about 439,000 Australians lived with dementia in 2025 and projects about 459,000 in 2026. Its younger onset estimate is about 29,500 people aged 30 to 64 in 2025. Exact prevalence is uncertain. The ABS 2022 disability survey estimated 5.5 million Australians, or 21.4%, had disability, a broader population than NDIS participants. [R4-R5, R6]</w:t>
      </w:r>
    </w:p>
    <w:p>
      <w:pPr>
        <w:pStyle w:val="Heading2"/>
      </w:pPr>
      <w:r>
        <w:t>Begin with a defined local need</w:t>
      </w:r>
    </w:p>
    <w:p>
      <w:r>
        <w:t>Brisbane and the surrounding region offer a setting for cooperation between home based support, disability services, aged care and clinical research. A focused beginning might examine continuity through a change of home, including the starting self record and selected memory palace activities. Results inform whether and how to extend the work.</w:t>
      </w:r>
    </w:p>
    <w:p>
      <w:r>
        <w:t>A project proposal concerning 82 Claytons Road at Amity Point on Minjerribah, also known as North Stradbroke Island, explores a place for memory palaces, whole person support and community participation. It is a property and partnership proposal. A care or research service there would depend on agreements, suitable premises, qualified delivery and approvals. [P1]</w:t>
      </w:r>
    </w:p>
    <w:p>
      <w:r>
        <w:t>Local development also needs practical access arrangements for people and supporters. Transport, communication, equipment, staff time and cultural participation form part of a concrete delivery plan. First Nations participation and cultural permissions are developed with the people and communities concerned.</w:t>
      </w:r>
    </w:p>
    <w:p>
      <w:pPr>
        <w:pStyle w:val="Heading1"/>
        <w:pageBreakBefore/>
      </w:pPr>
      <w:r>
        <w:t>Royal Commission lessons and international good practice</w:t>
      </w:r>
    </w:p>
    <w:p>
      <w:r>
        <w:t>A Royal Commission is a formal public inquiry that investigates issues and recommends reform. Australia's Aged Care Quality and Safety inquiry reported in 2021; its Disability Royal Commission reported in 2023. Their findings explain problems a new care proposal needs to address. They provide criteria for assessing whether proposed care addresses those problems. [R8-R9]</w:t>
      </w:r>
    </w:p>
    <w:p>
      <w:pPr>
        <w:pStyle w:val="Heading2"/>
      </w:pPr>
      <w:r>
        <w:t>Apply the lessons in the actual encounter</w:t>
      </w:r>
    </w:p>
    <w:p>
      <w:r>
        <w:t>The aged care inquiry identified failures in dementia care, nutrition and restrictive practices, which limit a person's movement or freedom. A personal record helps only when staff have time, skills and responsibility to respond. Aura proposes relevant context at the point of care, a clear response to concerns and evaluation of the resulting experience. [R8]</w:t>
      </w:r>
    </w:p>
    <w:p>
      <w:r>
        <w:t>The Disability Royal Commission's work on autonomy and access reinforces accessible communication, supported decisions and independent advocacy. A personal record helps when the person is able to express and revise preferences, identify where an account came from and reach someone responsible for a decision. [R9]</w:t>
      </w:r>
    </w:p>
    <w:p>
      <w:r>
        <w:t>The Aged Care Act 2024, governing Australian Government funded aged care, commenced on 1 November 2025 alongside strengthened quality standards. The law and standards address rights, provider duties, individual choice, dignity and appropriate care. A proposed Aura service needs to identify its actual role and responsibilities within this setting. [R10, R12]</w:t>
      </w:r>
    </w:p>
    <w:p>
      <w:pPr>
        <w:pStyle w:val="Heading2"/>
      </w:pPr>
      <w:r>
        <w:t>Use international guidance for a defined purpose</w:t>
      </w:r>
    </w:p>
    <w:p>
      <w:r>
        <w:t>WHO's 2025 Integrated Care for Older People guidance links capacities, needs and priorities with coordinated health and social support. That informs the intended connection between a personal goal, the people assisting and the review of what helped. [R13]</w:t>
      </w:r>
    </w:p>
    <w:p>
      <w:r>
        <w:t>The UK's National Institute for Health and Care Excellence (NICE) publishes clinical guidelines. Its dementia guidance recommends tailored activities and consideration of reminiscence, cognitive rehabilitation or occupational therapy for relevant needs. Reminiscence uses past experiences in conversation; occupational therapy helps adapt meaningful daily activities and surroundings. These approaches help frame activity design and the professional input needed. [R14]</w:t>
      </w:r>
    </w:p>
    <w:p>
      <w:r>
        <w:t>Alzheimer's Disease International, a federation of dementia associations, publishes the World Alzheimer Report. Its 2020 Design Dignity Dementia edition examines supportive physical environments across cultures. This matters because a digital collection sits within a real home: familiar objects, understandable surroundings and relationships continue to shape daily experience. [R15]</w:t>
      </w:r>
    </w:p>
    <w:p>
      <w:pPr>
        <w:pStyle w:val="Heading2"/>
      </w:pPr>
      <w:r>
        <w:t>A precise contribution to better care</w:t>
      </w:r>
    </w:p>
    <w:p>
      <w:r>
        <w:t>The evaluation asks whether Aura adds something the person values while fitting the realities of support. Findings distinguish a helpful conversation, a specific functional benefit and a clinical outcome. Claims about disease progression, healing, staffing savings or wider system effects require evidence designed to test those particular claims.</w:t>
      </w:r>
    </w:p>
    <w:p>
      <w:pPr>
        <w:pStyle w:val="Heading1"/>
        <w:pageBreakBefore/>
      </w:pPr>
      <w:r>
        <w:t>Community belonging and the C Hour reciprocity economy</w:t>
      </w:r>
    </w:p>
    <w:p>
      <w:r>
        <w:t>A person receiving care remains a member of a community. Friendship, learning, creativity and contribution have their own place in a worthwhile life. The proposed Aura connects personal interests and abilities with invitations the person might enjoy, including participation with practical support. [P1, P6]</w:t>
      </w:r>
    </w:p>
    <w:p>
      <w:pPr>
        <w:pStyle w:val="Heading2"/>
      </w:pPr>
      <w:r>
        <w:t>Recognition chosen by each community</w:t>
      </w:r>
    </w:p>
    <w:p>
      <w:r>
        <w:t>One Community-Hour, shortened to C-Hour, records one verified hour of voluntary human contribution. It is a reciprocity economy: communities recognise contributions through opportunities they choose to offer. C-Hour has no monetary value. Incentives might include access to community or private events and shared equipment. Its purpose is to improve the fabric of society. [P1, P6]</w:t>
      </w:r>
    </w:p>
    <w:p>
      <w:r>
        <w:t>A host explains what is offered, the relevant conditions and actual availability. Someone might share a skill, help with a garden or contribute to an accessible arts project. The contribution and its outcome are recorded with the person's agreement. A correction or unresolved verification question remains visible.</w:t>
      </w:r>
    </w:p>
    <w:p>
      <w:r>
        <w:t>Healthy De-Slop is an Aura proposal for community shaped wellbeing co-operatives: people organising shared spaces, activities and resources. It is one example of where local C-Hour incentives might develop. A cooking event, garden workshop or shared equipment provides a possible invitation; each community decides what it offers and under which conditions. [P6]</w:t>
      </w:r>
    </w:p>
    <w:p>
      <w:pPr>
        <w:pStyle w:val="Heading2"/>
      </w:pPr>
      <w:r>
        <w:t>An invitation that respects the person</w:t>
      </w:r>
    </w:p>
    <w:p>
      <w:r>
        <w:t>Participation follows interests, energy, access needs and preference. A person might enjoy a short contribution, a supported role or simply attending an event. Essential care and dignity remain independent of contribution. Paid employment and professional responsibilities have their own arrangements and accounts.</w:t>
      </w:r>
    </w:p>
    <w:p>
      <w:r>
        <w:t>The personal Aura would help prepare for a chosen activity and retain an account afterwards. A preference recorded during onboarding might connect someone with a local project; that experience then adds a new relationship or skill to their developing life record. The useful result extends beyond the entry recording the hour.</w:t>
      </w:r>
    </w:p>
    <w:p>
      <w:pPr>
        <w:pStyle w:val="Heading2"/>
      </w:pPr>
      <w:r>
        <w:t>The Olympics as a possible civic focus</w:t>
      </w:r>
    </w:p>
    <w:p>
      <w:r>
        <w:t>Brisbane 2032 refers to the Olympic and Paralympic Games planned for Queensland. Aura's civic volunteer proposal uses that horizon to explore accessible local participation and lasting community benefit. It is an Aura proposal, with community arrangements still to establish. Any official Games role would require agreement from the relevant organisers. [P1]</w:t>
      </w:r>
    </w:p>
    <w:p>
      <w:r>
        <w:t>An accessible local event, a community film or a welcoming activity might offer a beginning for someone interested. The emphasis is on worthwhile relationships and useful capability that continue beyond an event. An individual's participation remains a choice within their own life.</w:t>
      </w:r>
    </w:p>
    <w:p>
      <w:pPr>
        <w:pStyle w:val="Heading1"/>
        <w:pageBreakBefore/>
      </w:pPr>
      <w:r>
        <w:t>Work rest and mutual futures in a changing AI world</w:t>
      </w:r>
    </w:p>
    <w:p>
      <w:r>
        <w:t>Adaptive whole of life support includes the question of how a person wants to spend their time. A life contains changing abilities, interests, responsibilities and opportunities. Aura's wider proposals explore how learning, contribution, ownership and rest might develop through those changes. [P6]</w:t>
      </w:r>
    </w:p>
    <w:p>
      <w:pPr>
        <w:pStyle w:val="Heading2"/>
      </w:pPr>
      <w:r>
        <w:t>A continuing place for knowledge and curiosity</w:t>
      </w:r>
    </w:p>
    <w:p>
      <w:r>
        <w:t>Try Everything Once describes supported opportunities to experience different kinds of work and activity. A person might discover an interest in food, gardening, film, repair or digital creativity. Practitioners and hosts provide guidance appropriate to the role. Participation builds on the person's actual interest and access needs. [P1, P6]</w:t>
      </w:r>
    </w:p>
    <w:p>
      <w:r>
        <w:t>An older person may enjoy passing on a skill; someone living with disability may pursue a new project; a person adjusting to dementia may want a supported way to remain involved in something familiar. Paid roles, training and volunteering retain their respective requirements. Civic stewardship describes voluntary participation in the life and wellbeing of a community.</w:t>
      </w:r>
    </w:p>
    <w:p>
      <w:pPr>
        <w:pStyle w:val="Heading2"/>
      </w:pPr>
      <w:r>
        <w:t>Intermittent Retirement and shared enterprise</w:t>
      </w:r>
    </w:p>
    <w:p>
      <w:r>
        <w:t>Intermittent Retirement proposes recurring periods of work, rest and learning across life. Mutual Futures is Aura's wider proposal linking these choices with shared business ownership and succession, the transfer of a business and its knowledge to new participants. Each opportunity needs concrete financial, employment and ownership arrangements. These remain proposals to develop and assess. [P6]</w:t>
      </w:r>
    </w:p>
    <w:p>
      <w:r>
        <w:t>In this care context, the relevance is a wider choice of meaningful activity and time. Someone has room to enjoy rest, explore an interest or contribute in a way they value. Their life record includes abilities and intentions as well as support needs, helping a conversation begin from the whole person.</w:t>
      </w:r>
    </w:p>
    <w:p>
      <w:pPr>
        <w:pStyle w:val="Heading2"/>
      </w:pPr>
      <w:r>
        <w:t>Personal intelligence within a larger transition</w:t>
      </w:r>
    </w:p>
    <w:p>
      <w:r>
        <w:t>More capable AI and the possibility of superintelligence widen the future being considered. Superintelligence describes a further horizon of systems exceeding human capabilities across many fields; its timing and consequences remain uncertain. The Aura ambition includes a developing personal relationship with increasingly capable intelligence, grounded in the person's own meaning and choices. [P4, R29]</w:t>
      </w:r>
    </w:p>
    <w:p>
      <w:r>
        <w:t>The minimum viable self is a practical beginning for that ambition. It supplies reviewed context, while ongoing reflection and activity develop the account. Greater capability is evaluated through what it helps the person understand or do, with authority and information use remaining explicit.</w:t>
      </w:r>
    </w:p>
    <w:p>
      <w:r>
        <w:t>A Protopian gambit means pursuing improvements that are tested and revised as people learn what helps. In care, that begins with a better encounter and a support arrangement worth continuing. Those results give a wider future a grounded place to develop.</w:t>
      </w:r>
    </w:p>
    <w:p>
      <w:pPr>
        <w:pStyle w:val="Heading1"/>
        <w:pageBreakBefore/>
      </w:pPr>
      <w:r>
        <w:t>A practical development and partnership strategy</w:t>
      </w:r>
    </w:p>
    <w:p>
      <w:r>
        <w:t>The next stage turns a defined use into a concrete proposal for the people and organisations involved. The starting question is which part of life the person wants supported. The minimum viable self gives that work a personal foundation; the delivery plan identifies the people, evidence, resources and approvals needed around it.</w:t>
      </w:r>
    </w:p>
    <w:p>
      <w:pPr>
        <w:pStyle w:val="Heading2"/>
      </w:pPr>
      <w:r>
        <w:t>Prepare an experience that is clear enough to review</w:t>
      </w:r>
    </w:p>
    <w:p>
      <w:r>
        <w:t>A demonstration uses a small example and an understandable explanation of current functions. It shows recording, finding and correcting meaningful information. Sensitive personal material is introduced only through suitable arrangements. The person sees the intended use and the limits of the particular version being offered.</w:t>
      </w:r>
    </w:p>
    <w:p>
      <w:r>
        <w:t>A local proposal then names the intended participants, the activity, the accountable provider and the clinical or research roles relevant to it. It sets out equipment, accessibility, staff and family time, information handling, transport where needed and a realistic budget. Costs and proposed funding are visible before an invitation to participate.</w:t>
      </w:r>
    </w:p>
    <w:p>
      <w:pPr>
        <w:pStyle w:val="Heading2"/>
      </w:pPr>
      <w:r>
        <w:t>Establish readiness before recruitment</w:t>
      </w:r>
    </w:p>
    <w:p>
      <w:r>
        <w:t>The clinical plan, ethics and site requirements, lawful consent, privacy controls and appropriate therapeutic goods pathway are settled for the actual study. Roles and agreements identify who responds to a concern and who maintains continuity. These are work to complete, rather than assumptions supplied by the existence of a public prototype. [P3]</w:t>
      </w:r>
    </w:p>
    <w:p>
      <w:r>
        <w:t>A focused first evaluation records whether onboarding produces a recognisable and usable starting self, whether the chosen activity offers value, and what burden or unwanted effects arise. Findings inform design changes and the next study decision. Clinical software and interventions progress through their respective evidence and regulatory processes.</w:t>
      </w:r>
    </w:p>
    <w:p>
      <w:pPr>
        <w:pStyle w:val="Heading2"/>
      </w:pPr>
      <w:r>
        <w:t>An understandable next conversation</w:t>
      </w:r>
    </w:p>
    <w:p>
      <w:r>
        <w:t>For an individual or family, the next conversation begins with a goal, preferred communication and questions about what is actually available. A carer or registered provider identifies where continuity or a meaningful activity might help. A clinician, research partner or agency considers a defined role and the evidence relevant to its responsibility.</w:t>
      </w:r>
    </w:p>
    <w:p>
      <w:r>
        <w:t>The full direction remains adaptive whole of life support. The person begins with a reviewed account of themselves and develops it through living. The programme develops through the same discipline: an explicit purpose, a practical experience, a careful review and a reasoned next step.</w:t>
      </w:r>
    </w:p>
    <w:p>
      <w:hyperlink r:id="rId10">
        <w:r>
          <w:rPr>
            <w:color w:val="205A75"/>
            <w:u w:val="single"/>
            <w:sz w:val="20"/>
          </w:rPr>
          <w:t>Aura project enquiries and early access information</w:t>
        </w:r>
      </w:hyperlink>
    </w:p>
    <w:p>
      <w:pPr>
        <w:pStyle w:val="Heading1"/>
        <w:pageBreakBefore/>
      </w:pPr>
      <w:r>
        <w:t>Project sources</w:t>
      </w:r>
    </w:p>
    <w:p>
      <w:r>
        <w:t>Project sources describe intentions and development status. Research and official guidance provide separate evidence and context. A citation identifies a source for a statement, not a partnership, endorsement or approval of Aura. Sources were reviewed on 25 October 2026, with selected public references checked again on 27 October 2026. P identifies project material; R identifies research or public guidance.</w:t>
      </w:r>
    </w:p>
    <w:p>
      <w:pPr>
        <w:keepNext/>
        <w:spacing w:before="120" w:after="60"/>
      </w:pPr>
      <w:r>
        <w:rPr>
          <w:b/>
          <w:sz w:val="21"/>
        </w:rPr>
        <w:t xml:space="preserve">P1  </w:t>
      </w:r>
      <w:r>
        <w:rPr>
          <w:b/>
          <w:sz w:val="21"/>
        </w:rPr>
        <w:t>82 Claytons Road Anglican Partnership Proposal</w:t>
      </w:r>
    </w:p>
    <w:p>
      <w:pPr>
        <w:spacing w:after="120"/>
      </w:pPr>
      <w:r>
        <w:rPr>
          <w:sz w:val="20"/>
        </w:rPr>
        <w:t>Luke Nathan Hayes, 22 September 2026. Project proposal, 11 pages. Memory palaces and care continuity, pages 6 to 7; reciprocity, learning and the Olympics horizon, pages 8 to 10. Partnership invitations remain proposals.</w:t>
      </w:r>
    </w:p>
    <w:p>
      <w:pPr>
        <w:keepNext/>
        <w:spacing w:before="120" w:after="60"/>
      </w:pPr>
      <w:r>
        <w:rPr>
          <w:b/>
          <w:sz w:val="21"/>
        </w:rPr>
        <w:t xml:space="preserve">P2  </w:t>
      </w:r>
      <w:hyperlink r:id="rId11">
        <w:r>
          <w:rPr>
            <w:color w:val="205A75"/>
            <w:u w:val="single"/>
            <w:sz w:val="20"/>
          </w:rPr>
          <w:t>Verse Box Trial Proposal and Personal Aura</w:t>
        </w:r>
      </w:hyperlink>
    </w:p>
    <w:p>
      <w:pPr>
        <w:spacing w:after="120"/>
      </w:pPr>
      <w:r>
        <w:rPr>
          <w:sz w:val="20"/>
        </w:rPr>
        <w:t>Luke Nathan Hayes, 19 October 2026. Trial proposal and public introduction. Personal information, accessible interfaces, memory collections and continuing support.</w:t>
      </w:r>
    </w:p>
    <w:p>
      <w:pPr>
        <w:keepNext/>
        <w:spacing w:before="120" w:after="60"/>
      </w:pPr>
      <w:r>
        <w:rPr>
          <w:b/>
          <w:sz w:val="21"/>
        </w:rPr>
        <w:t xml:space="preserve">P3  </w:t>
      </w:r>
      <w:r>
        <w:rPr>
          <w:b/>
          <w:sz w:val="21"/>
        </w:rPr>
        <w:t>Clinical Research Path for Aura of Dementia</w:t>
      </w:r>
    </w:p>
    <w:p>
      <w:pPr>
        <w:spacing w:after="120"/>
      </w:pPr>
      <w:r>
        <w:rPr>
          <w:sz w:val="20"/>
        </w:rPr>
        <w:t>First draft, 28 pages. Planned clinical governance, medical software development, ethics and staged studies. The regulatory framing here draws on current official guidance; the draft records a plan rather than evidence of approvals.</w:t>
      </w:r>
    </w:p>
    <w:p>
      <w:pPr>
        <w:keepNext/>
        <w:spacing w:before="120" w:after="60"/>
      </w:pPr>
      <w:r>
        <w:rPr>
          <w:b/>
          <w:sz w:val="21"/>
        </w:rPr>
        <w:t xml:space="preserve">P4  </w:t>
      </w:r>
      <w:r>
        <w:rPr>
          <w:b/>
          <w:sz w:val="21"/>
        </w:rPr>
        <w:t>Aura Genesis Protocol Game Design Document</w:t>
      </w:r>
    </w:p>
    <w:p>
      <w:pPr>
        <w:spacing w:after="120"/>
      </w:pPr>
      <w:r>
        <w:rPr>
          <w:sz w:val="20"/>
        </w:rPr>
        <w:t>Luke Nathan Hayes, edition 2, 13 October 2026. Design document, 40 pages. Minimum viable self, pages 4 to 5 and 8; adult session structure, recording and Truth Engine; personal model development, page 27.</w:t>
      </w:r>
    </w:p>
    <w:p>
      <w:pPr>
        <w:keepNext/>
        <w:spacing w:before="120" w:after="60"/>
      </w:pPr>
      <w:r>
        <w:rPr>
          <w:b/>
          <w:sz w:val="21"/>
        </w:rPr>
        <w:t xml:space="preserve">P5  </w:t>
      </w:r>
      <w:hyperlink r:id="rId12">
        <w:r>
          <w:rPr>
            <w:color w:val="205A75"/>
            <w:u w:val="single"/>
            <w:sz w:val="20"/>
          </w:rPr>
          <w:t>Australian Law 2012 and Your Relevance</w:t>
        </w:r>
      </w:hyperlink>
    </w:p>
    <w:p>
      <w:pPr>
        <w:spacing w:after="120"/>
      </w:pPr>
      <w:r>
        <w:rPr>
          <w:sz w:val="20"/>
        </w:rPr>
        <w:t>Public relevance questions and contextual legal learning. Historical material requires checking against current operative law and jurisdiction.</w:t>
      </w:r>
    </w:p>
    <w:p>
      <w:pPr>
        <w:keepNext/>
        <w:spacing w:before="120" w:after="60"/>
      </w:pPr>
      <w:r>
        <w:rPr>
          <w:b/>
          <w:sz w:val="21"/>
        </w:rPr>
        <w:t xml:space="preserve">P6  </w:t>
      </w:r>
      <w:hyperlink r:id="rId13">
        <w:r>
          <w:rPr>
            <w:color w:val="205A75"/>
            <w:u w:val="single"/>
            <w:sz w:val="20"/>
          </w:rPr>
          <w:t>Mutual Futures and C Hour planning</w:t>
        </w:r>
      </w:hyperlink>
    </w:p>
    <w:p>
      <w:pPr>
        <w:spacing w:after="120"/>
      </w:pPr>
      <w:r>
        <w:rPr>
          <w:sz w:val="20"/>
        </w:rPr>
        <w:t>Mutual Futures public proposal, September 2026 C-Hour plan and current non-monetary reciprocity definition. Proposed contribution, succession, learning and Intermittent Retirement. Healthy De-Slop co-operative proposal: github.com/auraofintelligence/Oceania-healthy-de-slop-co-ops.</w:t>
      </w:r>
    </w:p>
    <w:p>
      <w:pPr>
        <w:keepNext/>
        <w:spacing w:before="120" w:after="60"/>
      </w:pPr>
      <w:r>
        <w:rPr>
          <w:b/>
          <w:sz w:val="21"/>
        </w:rPr>
        <w:t xml:space="preserve">P7  </w:t>
      </w:r>
      <w:hyperlink r:id="rId14">
        <w:r>
          <w:rPr>
            <w:color w:val="205A75"/>
            <w:u w:val="single"/>
            <w:sz w:val="20"/>
          </w:rPr>
          <w:t>Aura of Intelligence public project and design history</w:t>
        </w:r>
      </w:hyperlink>
    </w:p>
    <w:p>
      <w:pPr>
        <w:spacing w:after="120"/>
      </w:pPr>
      <w:r>
        <w:rPr>
          <w:sz w:val="20"/>
        </w:rPr>
        <w:t>Public project repository reviewed 25 October 2026. Version7 Aura of Intelligence 2023 July and Blend Aura to Unity design documents also inform the wider vision; historical designs do not establish completed clinical functions.</w:t>
      </w:r>
    </w:p>
    <w:p>
      <w:pPr>
        <w:keepNext/>
        <w:spacing w:before="120" w:after="60"/>
      </w:pPr>
      <w:r>
        <w:rPr>
          <w:b/>
          <w:sz w:val="21"/>
        </w:rPr>
        <w:t xml:space="preserve">P8  </w:t>
      </w:r>
      <w:hyperlink r:id="rId15">
        <w:r>
          <w:rPr>
            <w:color w:val="205A75"/>
            <w:u w:val="single"/>
            <w:sz w:val="20"/>
          </w:rPr>
          <w:t>Aura Matrix Studio current prototype</w:t>
        </w:r>
      </w:hyperlink>
    </w:p>
    <w:p>
      <w:pPr>
        <w:spacing w:after="120"/>
      </w:pPr>
      <w:r>
        <w:rPr>
          <w:sz w:val="20"/>
        </w:rPr>
        <w:t>Repository README and DEVELOPMENT-PLAN reviewed 25 October 2026; README checked again 27 October. Working browser features and documented limits in security, integration, autonomous agents and later development.</w:t>
      </w:r>
    </w:p>
    <w:p>
      <w:pPr>
        <w:keepNext/>
        <w:spacing w:before="120" w:after="60"/>
      </w:pPr>
      <w:r>
        <w:rPr>
          <w:b/>
          <w:sz w:val="21"/>
        </w:rPr>
        <w:t xml:space="preserve">P9  </w:t>
      </w:r>
      <w:r>
        <w:rPr>
          <w:b/>
          <w:sz w:val="21"/>
        </w:rPr>
        <w:t>Longevity and Self Healing Optimisation</w:t>
      </w:r>
    </w:p>
    <w:p>
      <w:pPr>
        <w:spacing w:after="120"/>
      </w:pPr>
      <w:r>
        <w:rPr>
          <w:sz w:val="20"/>
        </w:rPr>
        <w:t>Research notes, 11 pages. Adult wellbeing and HBOT ideas include exploratory hypotheses. Medical evidence statements in this overview draw on the clinical guidance and research listed below.</w:t>
      </w:r>
    </w:p>
    <w:p>
      <w:pPr>
        <w:pStyle w:val="Heading1"/>
        <w:pageBreakBefore/>
      </w:pPr>
      <w:r>
        <w:t>References on population and care quality</w:t>
      </w:r>
    </w:p>
    <w:p>
      <w:pPr>
        <w:keepNext/>
        <w:spacing w:before="120" w:after="60"/>
      </w:pPr>
      <w:r>
        <w:rPr>
          <w:b/>
          <w:sz w:val="21"/>
        </w:rPr>
        <w:t xml:space="preserve">R1  </w:t>
      </w:r>
      <w:hyperlink r:id="rId16">
        <w:r>
          <w:rPr>
            <w:color w:val="205A75"/>
            <w:u w:val="single"/>
            <w:sz w:val="20"/>
          </w:rPr>
          <w:t>National state and territory population March 2026</w:t>
        </w:r>
      </w:hyperlink>
    </w:p>
    <w:p>
      <w:pPr>
        <w:spacing w:after="120"/>
      </w:pPr>
      <w:r>
        <w:rPr>
          <w:sz w:val="20"/>
        </w:rPr>
        <w:t>ABS, released 17 September 2026. Estimated residents at 31 March 2026.</w:t>
      </w:r>
    </w:p>
    <w:p>
      <w:pPr>
        <w:keepNext/>
        <w:spacing w:before="120" w:after="60"/>
      </w:pPr>
      <w:r>
        <w:rPr>
          <w:b/>
          <w:sz w:val="21"/>
        </w:rPr>
        <w:t xml:space="preserve">R2  </w:t>
      </w:r>
      <w:hyperlink r:id="rId17">
        <w:r>
          <w:rPr>
            <w:color w:val="205A75"/>
            <w:u w:val="single"/>
            <w:sz w:val="20"/>
          </w:rPr>
          <w:t>Regional population 2024 to 2025</w:t>
        </w:r>
      </w:hyperlink>
    </w:p>
    <w:p>
      <w:pPr>
        <w:spacing w:after="120"/>
      </w:pPr>
      <w:r>
        <w:rPr>
          <w:sz w:val="20"/>
        </w:rPr>
        <w:t>ABS, released 31 March 2026. Greater Brisbane estimate at 30 June 2025; greater capital city boundary.</w:t>
      </w:r>
    </w:p>
    <w:p>
      <w:pPr>
        <w:keepNext/>
        <w:spacing w:before="120" w:after="60"/>
      </w:pPr>
      <w:r>
        <w:rPr>
          <w:b/>
          <w:sz w:val="21"/>
        </w:rPr>
        <w:t xml:space="preserve">R3  </w:t>
      </w:r>
      <w:hyperlink r:id="rId18">
        <w:r>
          <w:rPr>
            <w:color w:val="205A75"/>
            <w:u w:val="single"/>
            <w:sz w:val="20"/>
          </w:rPr>
          <w:t>South East Queensland population soars</w:t>
        </w:r>
      </w:hyperlink>
    </w:p>
    <w:p>
      <w:pPr>
        <w:spacing w:after="120"/>
      </w:pPr>
      <w:r>
        <w:rPr>
          <w:sz w:val="20"/>
        </w:rPr>
        <w:t>KPMG Australia, 1 December 2025. Original regional analysis of ABS data; rounded population context.</w:t>
      </w:r>
    </w:p>
    <w:p>
      <w:pPr>
        <w:keepNext/>
        <w:spacing w:before="120" w:after="60"/>
      </w:pPr>
      <w:r>
        <w:rPr>
          <w:b/>
          <w:sz w:val="21"/>
        </w:rPr>
        <w:t xml:space="preserve">R4  </w:t>
      </w:r>
      <w:hyperlink r:id="rId19">
        <w:r>
          <w:rPr>
            <w:color w:val="205A75"/>
            <w:u w:val="single"/>
            <w:sz w:val="20"/>
          </w:rPr>
          <w:t>Disability Ageing and Carers Australia 2022</w:t>
        </w:r>
      </w:hyperlink>
    </w:p>
    <w:p>
      <w:pPr>
        <w:spacing w:after="120"/>
      </w:pPr>
      <w:r>
        <w:rPr>
          <w:sz w:val="20"/>
        </w:rPr>
        <w:t>ABS, published 2024. Disability prevalence survey; broader coverage than NDIS participation.</w:t>
      </w:r>
    </w:p>
    <w:p>
      <w:pPr>
        <w:keepNext/>
        <w:spacing w:before="120" w:after="60"/>
      </w:pPr>
      <w:r>
        <w:rPr>
          <w:b/>
          <w:sz w:val="21"/>
        </w:rPr>
        <w:t xml:space="preserve">R5  </w:t>
      </w:r>
      <w:hyperlink r:id="rId20">
        <w:r>
          <w:rPr>
            <w:color w:val="205A75"/>
            <w:u w:val="single"/>
            <w:sz w:val="20"/>
          </w:rPr>
          <w:t>Dementia in Australia</w:t>
        </w:r>
      </w:hyperlink>
    </w:p>
    <w:p>
      <w:pPr>
        <w:spacing w:after="120"/>
      </w:pPr>
      <w:r>
        <w:rPr>
          <w:sz w:val="20"/>
        </w:rPr>
        <w:t>AIHW, updated 30 July 2026. Modelled prevalence for 2025 and projection for 2026; exact prevalence is unknown.</w:t>
      </w:r>
    </w:p>
    <w:p>
      <w:pPr>
        <w:keepNext/>
        <w:spacing w:before="120" w:after="60"/>
      </w:pPr>
      <w:r>
        <w:rPr>
          <w:b/>
          <w:sz w:val="21"/>
        </w:rPr>
        <w:t xml:space="preserve">R6  </w:t>
      </w:r>
      <w:hyperlink r:id="rId21">
        <w:r>
          <w:rPr>
            <w:color w:val="205A75"/>
            <w:u w:val="single"/>
            <w:sz w:val="20"/>
          </w:rPr>
          <w:t>Younger onset dementia population health impacts</w:t>
        </w:r>
      </w:hyperlink>
    </w:p>
    <w:p>
      <w:pPr>
        <w:spacing w:after="120"/>
      </w:pPr>
      <w:r>
        <w:rPr>
          <w:sz w:val="20"/>
        </w:rPr>
        <w:t>AIHW, July 2026. Estimated prevalence for people aged 30 to 64 in 2025.</w:t>
      </w:r>
    </w:p>
    <w:p>
      <w:pPr>
        <w:keepNext/>
        <w:spacing w:before="120" w:after="60"/>
      </w:pPr>
      <w:r>
        <w:rPr>
          <w:b/>
          <w:sz w:val="21"/>
        </w:rPr>
        <w:t xml:space="preserve">R7  </w:t>
      </w:r>
      <w:hyperlink r:id="rId22">
        <w:r>
          <w:rPr>
            <w:color w:val="205A75"/>
            <w:u w:val="single"/>
            <w:sz w:val="20"/>
          </w:rPr>
          <w:t>Young onset dementia</w:t>
        </w:r>
      </w:hyperlink>
    </w:p>
    <w:p>
      <w:pPr>
        <w:spacing w:after="120"/>
      </w:pPr>
      <w:r>
        <w:rPr>
          <w:sz w:val="20"/>
        </w:rPr>
        <w:t>Dementia Australia. Definition, effects and support for dementia beginning before 65.</w:t>
      </w:r>
    </w:p>
    <w:p>
      <w:pPr>
        <w:keepNext/>
        <w:spacing w:before="120" w:after="60"/>
      </w:pPr>
      <w:r>
        <w:rPr>
          <w:b/>
          <w:sz w:val="21"/>
        </w:rPr>
        <w:t xml:space="preserve">R8  </w:t>
      </w:r>
      <w:hyperlink r:id="rId23">
        <w:r>
          <w:rPr>
            <w:color w:val="205A75"/>
            <w:u w:val="single"/>
            <w:sz w:val="20"/>
          </w:rPr>
          <w:t>Aged Care Royal Commission Final Report</w:t>
        </w:r>
      </w:hyperlink>
    </w:p>
    <w:p>
      <w:pPr>
        <w:spacing w:after="120"/>
      </w:pPr>
      <w:r>
        <w:rPr>
          <w:sz w:val="20"/>
        </w:rPr>
        <w:t>Royal Commission into Aged Care Quality and Safety, 2021. Executive summary on care quality, including dementia, nutrition and restrictive practices.</w:t>
      </w:r>
    </w:p>
    <w:p>
      <w:pPr>
        <w:keepNext/>
        <w:spacing w:before="120" w:after="60"/>
      </w:pPr>
      <w:r>
        <w:rPr>
          <w:b/>
          <w:sz w:val="21"/>
        </w:rPr>
        <w:t xml:space="preserve">R9  </w:t>
      </w:r>
      <w:hyperlink r:id="rId24">
        <w:r>
          <w:rPr>
            <w:color w:val="205A75"/>
            <w:u w:val="single"/>
            <w:sz w:val="20"/>
          </w:rPr>
          <w:t>Disability Royal Commission Final Report Volume 6</w:t>
        </w:r>
      </w:hyperlink>
    </w:p>
    <w:p>
      <w:pPr>
        <w:spacing w:after="120"/>
      </w:pPr>
      <w:r>
        <w:rPr>
          <w:sz w:val="20"/>
        </w:rPr>
        <w:t>Royal Commission, 29 September 2023. Enabling autonomy and access, including communication, supported decisions and advocacy.</w:t>
      </w:r>
    </w:p>
    <w:p>
      <w:pPr>
        <w:keepNext/>
        <w:spacing w:before="120" w:after="60"/>
      </w:pPr>
      <w:r>
        <w:rPr>
          <w:b/>
          <w:sz w:val="21"/>
        </w:rPr>
        <w:t xml:space="preserve">R10  </w:t>
      </w:r>
      <w:hyperlink r:id="rId25">
        <w:r>
          <w:rPr>
            <w:color w:val="205A75"/>
            <w:u w:val="single"/>
            <w:sz w:val="20"/>
          </w:rPr>
          <w:t>About the new rights based Aged Care Act</w:t>
        </w:r>
      </w:hyperlink>
    </w:p>
    <w:p>
      <w:pPr>
        <w:spacing w:after="120"/>
      </w:pPr>
      <w:r>
        <w:rPr>
          <w:sz w:val="20"/>
        </w:rPr>
        <w:t>Australian Government. Aged Care Act 2024 commenced 1 November 2025; rights and support for personal decisions.</w:t>
      </w:r>
    </w:p>
    <w:p>
      <w:pPr>
        <w:keepNext/>
        <w:spacing w:before="120" w:after="60"/>
      </w:pPr>
      <w:r>
        <w:rPr>
          <w:b/>
          <w:sz w:val="21"/>
        </w:rPr>
        <w:t xml:space="preserve">R11  </w:t>
      </w:r>
      <w:hyperlink r:id="rId26">
        <w:r>
          <w:rPr>
            <w:color w:val="205A75"/>
            <w:u w:val="single"/>
            <w:sz w:val="20"/>
          </w:rPr>
          <w:t>NDIS Practice Standards rights and responsibilities</w:t>
        </w:r>
      </w:hyperlink>
    </w:p>
    <w:p>
      <w:pPr>
        <w:spacing w:after="120"/>
      </w:pPr>
      <w:r>
        <w:rPr>
          <w:sz w:val="20"/>
        </w:rPr>
        <w:t>NDIS Quality and Safeguards Commission. Personal rights, accessible communication, values, privacy, informed choice and advocacy within the registered provider framework.</w:t>
      </w:r>
    </w:p>
    <w:p>
      <w:pPr>
        <w:keepNext/>
        <w:spacing w:before="120" w:after="60"/>
      </w:pPr>
      <w:r>
        <w:rPr>
          <w:b/>
          <w:sz w:val="21"/>
        </w:rPr>
        <w:t xml:space="preserve">R12  </w:t>
      </w:r>
      <w:hyperlink r:id="rId27">
        <w:r>
          <w:rPr>
            <w:color w:val="205A75"/>
            <w:u w:val="single"/>
            <w:sz w:val="20"/>
          </w:rPr>
          <w:t>Strengthened Aged Care Quality Standards</w:t>
        </w:r>
      </w:hyperlink>
    </w:p>
    <w:p>
      <w:pPr>
        <w:spacing w:after="120"/>
      </w:pPr>
      <w:r>
        <w:rPr>
          <w:sz w:val="20"/>
        </w:rPr>
        <w:t>Australian Government, August 2026 resource. Standards implemented under the Aged Care Act 2024 on 1 November 2025.</w:t>
      </w:r>
    </w:p>
    <w:p>
      <w:pPr>
        <w:pStyle w:val="Heading1"/>
        <w:pageBreakBefore/>
      </w:pPr>
      <w:r>
        <w:t>References on practice and support pathways</w:t>
      </w:r>
    </w:p>
    <w:p>
      <w:pPr>
        <w:keepNext/>
        <w:spacing w:before="120" w:after="60"/>
      </w:pPr>
      <w:r>
        <w:rPr>
          <w:b/>
          <w:sz w:val="21"/>
        </w:rPr>
        <w:t xml:space="preserve">R13  </w:t>
      </w:r>
      <w:hyperlink r:id="rId28">
        <w:r>
          <w:rPr>
            <w:color w:val="205A75"/>
            <w:u w:val="single"/>
            <w:sz w:val="20"/>
          </w:rPr>
          <w:t>Integrated care for older people second edition</w:t>
        </w:r>
      </w:hyperlink>
    </w:p>
    <w:p>
      <w:pPr>
        <w:spacing w:after="120"/>
      </w:pPr>
      <w:r>
        <w:rPr>
          <w:sz w:val="20"/>
        </w:rPr>
        <w:t>World Health Organization, 2025. Guidance for person-centred assessment and coordinated health and social support pathways.</w:t>
      </w:r>
    </w:p>
    <w:p>
      <w:pPr>
        <w:keepNext/>
        <w:spacing w:before="120" w:after="60"/>
      </w:pPr>
      <w:r>
        <w:rPr>
          <w:b/>
          <w:sz w:val="21"/>
        </w:rPr>
        <w:t xml:space="preserve">R14  </w:t>
      </w:r>
      <w:hyperlink r:id="rId29">
        <w:r>
          <w:rPr>
            <w:color w:val="205A75"/>
            <w:u w:val="single"/>
            <w:sz w:val="20"/>
          </w:rPr>
          <w:t>Dementia assessment management and support NG97</w:t>
        </w:r>
      </w:hyperlink>
    </w:p>
    <w:p>
      <w:pPr>
        <w:spacing w:after="120"/>
      </w:pPr>
      <w:r>
        <w:rPr>
          <w:sz w:val="20"/>
        </w:rPr>
        <w:t>National Institute for Health and Care Excellence, UK, 2018, current online guidance. Tailored activities, reminiscence, cognitive rehabilitation and occupational therapy.</w:t>
      </w:r>
    </w:p>
    <w:p>
      <w:pPr>
        <w:keepNext/>
        <w:spacing w:before="120" w:after="60"/>
      </w:pPr>
      <w:r>
        <w:rPr>
          <w:b/>
          <w:sz w:val="21"/>
        </w:rPr>
        <w:t xml:space="preserve">R15  </w:t>
      </w:r>
      <w:hyperlink r:id="rId30">
        <w:r>
          <w:rPr>
            <w:color w:val="205A75"/>
            <w:u w:val="single"/>
            <w:sz w:val="20"/>
          </w:rPr>
          <w:t>World Alzheimer Report 2020 Design Dignity Dementia</w:t>
        </w:r>
      </w:hyperlink>
    </w:p>
    <w:p>
      <w:pPr>
        <w:spacing w:after="120"/>
      </w:pPr>
      <w:r>
        <w:rPr>
          <w:sz w:val="20"/>
        </w:rPr>
        <w:t>Fleming, Zeisel and Bennett, Alzheimer's Disease International. Supportive environments and cross-cultural dementia design.</w:t>
      </w:r>
    </w:p>
    <w:p>
      <w:pPr>
        <w:keepNext/>
        <w:spacing w:before="120" w:after="60"/>
      </w:pPr>
      <w:r>
        <w:rPr>
          <w:b/>
          <w:sz w:val="21"/>
        </w:rPr>
        <w:t xml:space="preserve">R16  </w:t>
      </w:r>
      <w:hyperlink r:id="rId31">
        <w:r>
          <w:rPr>
            <w:color w:val="205A75"/>
            <w:u w:val="single"/>
            <w:sz w:val="20"/>
          </w:rPr>
          <w:t>What is assistive technology</w:t>
        </w:r>
      </w:hyperlink>
    </w:p>
    <w:p>
      <w:pPr>
        <w:spacing w:after="120"/>
      </w:pPr>
      <w:r>
        <w:rPr>
          <w:sz w:val="20"/>
        </w:rPr>
        <w:t>National Disability Insurance Agency, which administers the NDIS. Disability related need, evidence, cost, risk and responsibility of other systems inform funding decisions.</w:t>
      </w:r>
    </w:p>
    <w:p>
      <w:pPr>
        <w:keepNext/>
        <w:spacing w:before="120" w:after="60"/>
      </w:pPr>
      <w:r>
        <w:rPr>
          <w:b/>
          <w:sz w:val="21"/>
        </w:rPr>
        <w:t xml:space="preserve">R17  </w:t>
      </w:r>
      <w:hyperlink r:id="rId32">
        <w:r>
          <w:rPr>
            <w:color w:val="205A75"/>
            <w:u w:val="single"/>
            <w:sz w:val="20"/>
          </w:rPr>
          <w:t>NDIS age requirements</w:t>
        </w:r>
      </w:hyperlink>
    </w:p>
    <w:p>
      <w:pPr>
        <w:spacing w:after="120"/>
      </w:pPr>
      <w:r>
        <w:rPr>
          <w:sz w:val="20"/>
        </w:rPr>
        <w:t>NDIA. Application before 65 and arrangements for existing participants after 65, alongside other eligibility requirements.</w:t>
      </w:r>
    </w:p>
    <w:p>
      <w:pPr>
        <w:keepNext/>
        <w:spacing w:before="120" w:after="60"/>
      </w:pPr>
      <w:r>
        <w:rPr>
          <w:b/>
          <w:sz w:val="21"/>
        </w:rPr>
        <w:t xml:space="preserve">R18  </w:t>
      </w:r>
      <w:hyperlink r:id="rId33">
        <w:r>
          <w:rPr>
            <w:color w:val="205A75"/>
            <w:u w:val="single"/>
            <w:sz w:val="20"/>
          </w:rPr>
          <w:t>My Aged Care assessment eligibility</w:t>
        </w:r>
      </w:hyperlink>
    </w:p>
    <w:p>
      <w:pPr>
        <w:spacing w:after="120"/>
      </w:pPr>
      <w:r>
        <w:rPr>
          <w:sz w:val="20"/>
        </w:rPr>
        <w:t>My Aged Care. Age, need and specified earlier access pathways; assessment access is distinct from funding a particular item.</w:t>
      </w:r>
    </w:p>
    <w:p>
      <w:pPr>
        <w:keepNext/>
        <w:spacing w:before="120" w:after="60"/>
      </w:pPr>
      <w:r>
        <w:rPr>
          <w:b/>
          <w:sz w:val="21"/>
        </w:rPr>
        <w:t xml:space="preserve">R19  </w:t>
      </w:r>
      <w:hyperlink r:id="rId34">
        <w:r>
          <w:rPr>
            <w:color w:val="205A75"/>
            <w:u w:val="single"/>
            <w:sz w:val="20"/>
          </w:rPr>
          <w:t>Support at Home program</w:t>
        </w:r>
      </w:hyperlink>
    </w:p>
    <w:p>
      <w:pPr>
        <w:spacing w:after="120"/>
      </w:pPr>
      <w:r>
        <w:rPr>
          <w:sz w:val="20"/>
        </w:rPr>
        <w:t>My Aged Care. Programme introduced November 2025; assessment, ongoing support and short-term pathways.</w:t>
      </w:r>
    </w:p>
    <w:p>
      <w:pPr>
        <w:keepNext/>
        <w:spacing w:before="120" w:after="60"/>
      </w:pPr>
      <w:r>
        <w:rPr>
          <w:b/>
          <w:sz w:val="21"/>
        </w:rPr>
        <w:t xml:space="preserve">R20  </w:t>
      </w:r>
      <w:hyperlink r:id="rId35">
        <w:r>
          <w:rPr>
            <w:color w:val="205A75"/>
            <w:u w:val="single"/>
            <w:sz w:val="20"/>
          </w:rPr>
          <w:t>Assistive Technology and Home Modifications scheme</w:t>
        </w:r>
      </w:hyperlink>
    </w:p>
    <w:p>
      <w:pPr>
        <w:spacing w:after="120"/>
      </w:pPr>
      <w:r>
        <w:rPr>
          <w:sz w:val="20"/>
        </w:rPr>
        <w:t>My Aged Care. Separate assessed funding, eligible items and relevant practitioner involvement.</w:t>
      </w:r>
    </w:p>
    <w:p>
      <w:pPr>
        <w:keepNext/>
        <w:spacing w:before="120" w:after="60"/>
      </w:pPr>
      <w:r>
        <w:rPr>
          <w:b/>
          <w:sz w:val="21"/>
        </w:rPr>
        <w:t xml:space="preserve">R21  </w:t>
      </w:r>
      <w:hyperlink r:id="rId36">
        <w:r>
          <w:rPr>
            <w:color w:val="205A75"/>
            <w:u w:val="single"/>
            <w:sz w:val="20"/>
          </w:rPr>
          <w:t>Residential care</w:t>
        </w:r>
      </w:hyperlink>
    </w:p>
    <w:p>
      <w:pPr>
        <w:spacing w:after="120"/>
      </w:pPr>
      <w:r>
        <w:rPr>
          <w:sz w:val="20"/>
        </w:rPr>
        <w:t>Dementia Australia, updated 11 February 2026. Preparation, familiarisation and support through a move.</w:t>
      </w:r>
    </w:p>
    <w:p>
      <w:pPr>
        <w:keepNext/>
        <w:spacing w:before="120" w:after="60"/>
      </w:pPr>
      <w:r>
        <w:rPr>
          <w:b/>
          <w:sz w:val="21"/>
        </w:rPr>
        <w:t xml:space="preserve">R22  </w:t>
      </w:r>
      <w:hyperlink r:id="rId37">
        <w:r>
          <w:rPr>
            <w:color w:val="205A75"/>
            <w:u w:val="single"/>
            <w:sz w:val="20"/>
          </w:rPr>
          <w:t>NDIS guide to residential aged care</w:t>
        </w:r>
      </w:hyperlink>
    </w:p>
    <w:p>
      <w:pPr>
        <w:spacing w:after="120"/>
      </w:pPr>
      <w:r>
        <w:rPr>
          <w:sz w:val="20"/>
        </w:rPr>
        <w:t>NDIA. System transitions, age-appropriate options and permanent aged care entry after 65.</w:t>
      </w:r>
    </w:p>
    <w:p>
      <w:pPr>
        <w:keepNext/>
        <w:spacing w:before="120" w:after="60"/>
      </w:pPr>
      <w:r>
        <w:rPr>
          <w:b/>
          <w:sz w:val="21"/>
        </w:rPr>
        <w:t xml:space="preserve">R23  </w:t>
      </w:r>
      <w:hyperlink r:id="rId38">
        <w:r>
          <w:rPr>
            <w:color w:val="205A75"/>
            <w:u w:val="single"/>
            <w:sz w:val="20"/>
          </w:rPr>
          <w:t>Individual goal oriented cognitive rehabilitation GREAT trial</w:t>
        </w:r>
      </w:hyperlink>
    </w:p>
    <w:p>
      <w:pPr>
        <w:spacing w:after="120"/>
      </w:pPr>
      <w:r>
        <w:rPr>
          <w:sz w:val="20"/>
        </w:rPr>
        <w:t>Clare and colleagues, 2019. Randomised trial of 475 people with dementia. Gains concerned directly targeted everyday goals; no significant differences in broader secondary outcomes. DOI 10.1002/gps.5076.</w:t>
      </w:r>
    </w:p>
    <w:p>
      <w:pPr>
        <w:keepNext/>
        <w:spacing w:before="120" w:after="60"/>
      </w:pPr>
      <w:r>
        <w:rPr>
          <w:b/>
          <w:sz w:val="21"/>
        </w:rPr>
        <w:t xml:space="preserve">R24  </w:t>
      </w:r>
      <w:hyperlink r:id="rId39">
        <w:r>
          <w:rPr>
            <w:color w:val="205A75"/>
            <w:u w:val="single"/>
            <w:sz w:val="20"/>
          </w:rPr>
          <w:t>Digital life storybooks for people with dementia</w:t>
        </w:r>
      </w:hyperlink>
    </w:p>
    <w:p>
      <w:pPr>
        <w:spacing w:after="120"/>
      </w:pPr>
      <w:r>
        <w:rPr>
          <w:sz w:val="20"/>
        </w:rPr>
        <w:t>Subramaniam and Woods, 2016. Six person care home evaluation of personalised multimedia life storybooks; an exploratory study. DOI 10.2147/CIA.S111097.</w:t>
      </w:r>
    </w:p>
    <w:p>
      <w:pPr>
        <w:keepNext/>
        <w:spacing w:before="120" w:after="60"/>
      </w:pPr>
      <w:r>
        <w:rPr>
          <w:b/>
          <w:sz w:val="21"/>
        </w:rPr>
        <w:t xml:space="preserve">R25  </w:t>
      </w:r>
      <w:hyperlink r:id="rId40">
        <w:r>
          <w:rPr>
            <w:color w:val="205A75"/>
            <w:u w:val="single"/>
            <w:sz w:val="20"/>
          </w:rPr>
          <w:t>Queensland advance care planning forms</w:t>
        </w:r>
      </w:hyperlink>
    </w:p>
    <w:p>
      <w:pPr>
        <w:spacing w:after="120"/>
      </w:pPr>
      <w:r>
        <w:rPr>
          <w:sz w:val="20"/>
        </w:rPr>
        <w:t>Queensland Government. Different purposes and processes for an enduring power of attorney and an advance health directive.</w:t>
      </w:r>
    </w:p>
    <w:p>
      <w:pPr>
        <w:pStyle w:val="Heading1"/>
        <w:pageBreakBefore/>
      </w:pPr>
      <w:r>
        <w:t>References on clinical development and wellbeing</w:t>
      </w:r>
    </w:p>
    <w:p>
      <w:pPr>
        <w:keepNext/>
        <w:spacing w:before="120" w:after="60"/>
      </w:pPr>
      <w:r>
        <w:rPr>
          <w:b/>
          <w:sz w:val="21"/>
        </w:rPr>
        <w:t xml:space="preserve">R26  </w:t>
      </w:r>
      <w:hyperlink r:id="rId41">
        <w:r>
          <w:rPr>
            <w:color w:val="205A75"/>
            <w:u w:val="single"/>
            <w:sz w:val="20"/>
          </w:rPr>
          <w:t>Health information and impaired capacity</w:t>
        </w:r>
      </w:hyperlink>
    </w:p>
    <w:p>
      <w:pPr>
        <w:spacing w:after="120"/>
      </w:pPr>
      <w:r>
        <w:rPr>
          <w:sz w:val="20"/>
        </w:rPr>
        <w:t>Office of the Australian Information Commissioner, Guide to Health Privacy, Chapter 7. Disclosure and authority in relevant health settings.</w:t>
      </w:r>
    </w:p>
    <w:p>
      <w:pPr>
        <w:keepNext/>
        <w:spacing w:before="120" w:after="60"/>
      </w:pPr>
      <w:r>
        <w:rPr>
          <w:b/>
          <w:sz w:val="21"/>
        </w:rPr>
        <w:t xml:space="preserve">R27  </w:t>
      </w:r>
      <w:hyperlink r:id="rId42">
        <w:r>
          <w:rPr>
            <w:color w:val="205A75"/>
            <w:u w:val="single"/>
            <w:sz w:val="20"/>
          </w:rPr>
          <w:t>Understanding regulation of medical device software</w:t>
        </w:r>
      </w:hyperlink>
    </w:p>
    <w:p>
      <w:pPr>
        <w:spacing w:after="120"/>
      </w:pPr>
      <w:r>
        <w:rPr>
          <w:sz w:val="20"/>
        </w:rPr>
        <w:t>TGA, 24 February 2026. Intended purpose, exclusions and exemptions, Essential Principles and ongoing obligations.</w:t>
      </w:r>
    </w:p>
    <w:p>
      <w:pPr>
        <w:keepNext/>
        <w:spacing w:before="120" w:after="60"/>
      </w:pPr>
      <w:r>
        <w:rPr>
          <w:b/>
          <w:sz w:val="21"/>
        </w:rPr>
        <w:t xml:space="preserve">R28  </w:t>
      </w:r>
      <w:hyperlink r:id="rId43">
        <w:r>
          <w:rPr>
            <w:color w:val="205A75"/>
            <w:u w:val="single"/>
            <w:sz w:val="20"/>
          </w:rPr>
          <w:t>National Statement on Ethical Conduct in Human Research 2025</w:t>
        </w:r>
      </w:hyperlink>
    </w:p>
    <w:p>
      <w:pPr>
        <w:spacing w:after="120"/>
      </w:pPr>
      <w:r>
        <w:rPr>
          <w:sz w:val="20"/>
        </w:rPr>
        <w:t>National Health and Medical Research Council and partner bodies. Effective 23 June 2026. Ethical review, participant protection and consent arrangements.</w:t>
      </w:r>
    </w:p>
    <w:p>
      <w:pPr>
        <w:keepNext/>
        <w:spacing w:before="120" w:after="60"/>
      </w:pPr>
      <w:r>
        <w:rPr>
          <w:b/>
          <w:sz w:val="21"/>
        </w:rPr>
        <w:t xml:space="preserve">R29  </w:t>
      </w:r>
      <w:hyperlink r:id="rId44">
        <w:r>
          <w:rPr>
            <w:color w:val="205A75"/>
            <w:u w:val="single"/>
            <w:sz w:val="20"/>
          </w:rPr>
          <w:t>International AI Safety Report 2026</w:t>
        </w:r>
      </w:hyperlink>
    </w:p>
    <w:p>
      <w:pPr>
        <w:spacing w:after="120"/>
      </w:pPr>
      <w:r>
        <w:rPr>
          <w:sz w:val="20"/>
        </w:rPr>
        <w:t>International AI Safety Report. Current capabilities, risks and uncertainty in future AI development; contextual material, not Aura clinical evidence.</w:t>
      </w:r>
    </w:p>
    <w:p>
      <w:pPr>
        <w:keepNext/>
        <w:spacing w:before="120" w:after="60"/>
      </w:pPr>
      <w:r>
        <w:rPr>
          <w:b/>
          <w:sz w:val="21"/>
        </w:rPr>
        <w:t xml:space="preserve">R30  </w:t>
      </w:r>
      <w:hyperlink r:id="rId45">
        <w:r>
          <w:rPr>
            <w:color w:val="205A75"/>
            <w:u w:val="single"/>
            <w:sz w:val="20"/>
          </w:rPr>
          <w:t>Artificial intelligence and medical device software regulation</w:t>
        </w:r>
      </w:hyperlink>
    </w:p>
    <w:p>
      <w:pPr>
        <w:spacing w:after="120"/>
      </w:pPr>
      <w:r>
        <w:rPr>
          <w:sz w:val="20"/>
        </w:rPr>
        <w:t>TGA, updated 5 February 2026, and linked AI evidence guidance. Medical purpose, clinical evidence, changes to functionality and regulation.</w:t>
      </w:r>
    </w:p>
    <w:p>
      <w:pPr>
        <w:keepNext/>
        <w:spacing w:before="120" w:after="60"/>
      </w:pPr>
      <w:r>
        <w:rPr>
          <w:b/>
          <w:sz w:val="21"/>
        </w:rPr>
        <w:t xml:space="preserve">R31  </w:t>
      </w:r>
      <w:hyperlink r:id="rId46">
        <w:r>
          <w:rPr>
            <w:color w:val="205A75"/>
            <w:u w:val="single"/>
            <w:sz w:val="20"/>
          </w:rPr>
          <w:t>Australian clinical trial handbook</w:t>
        </w:r>
      </w:hyperlink>
    </w:p>
    <w:p>
      <w:pPr>
        <w:spacing w:after="120"/>
      </w:pPr>
      <w:r>
        <w:rPr>
          <w:sz w:val="20"/>
        </w:rPr>
        <w:t>TGA, updated 3 October 2024, current online guidance. Sponsor, investigator, ethics and institutional roles; CTN and CTA pathways for unapproved therapeutic goods.</w:t>
      </w:r>
    </w:p>
    <w:p>
      <w:pPr>
        <w:keepNext/>
        <w:spacing w:before="120" w:after="60"/>
      </w:pPr>
      <w:r>
        <w:rPr>
          <w:b/>
          <w:sz w:val="21"/>
        </w:rPr>
        <w:t xml:space="preserve">R32  </w:t>
      </w:r>
      <w:hyperlink r:id="rId47">
        <w:r>
          <w:rPr>
            <w:color w:val="205A75"/>
            <w:u w:val="single"/>
            <w:sz w:val="20"/>
          </w:rPr>
          <w:t>Clinical research and impaired decision making capacity</w:t>
        </w:r>
      </w:hyperlink>
    </w:p>
    <w:p>
      <w:pPr>
        <w:spacing w:after="120"/>
      </w:pPr>
      <w:r>
        <w:rPr>
          <w:sz w:val="20"/>
        </w:rPr>
        <w:t>Queensland Civil and Administrative Tribunal. Approval of qualifying clinical research and the distinct authority to consent for an individual.</w:t>
      </w:r>
    </w:p>
    <w:p>
      <w:pPr>
        <w:keepNext/>
        <w:spacing w:before="120" w:after="60"/>
      </w:pPr>
      <w:r>
        <w:rPr>
          <w:b/>
          <w:sz w:val="21"/>
        </w:rPr>
        <w:t xml:space="preserve">R33  </w:t>
      </w:r>
      <w:hyperlink r:id="rId48">
        <w:r>
          <w:rPr>
            <w:color w:val="205A75"/>
            <w:u w:val="single"/>
            <w:sz w:val="20"/>
          </w:rPr>
          <w:t>Special health care</w:t>
        </w:r>
      </w:hyperlink>
    </w:p>
    <w:p>
      <w:pPr>
        <w:spacing w:after="120"/>
      </w:pPr>
      <w:r>
        <w:rPr>
          <w:sz w:val="20"/>
        </w:rPr>
        <w:t>Queensland Civil and Administrative Tribunal. Separate provisions for special medical research or experimental health care, including objection and privacy.</w:t>
      </w:r>
    </w:p>
    <w:p>
      <w:pPr>
        <w:keepNext/>
        <w:spacing w:before="120" w:after="60"/>
      </w:pPr>
      <w:r>
        <w:rPr>
          <w:b/>
          <w:sz w:val="21"/>
        </w:rPr>
        <w:t xml:space="preserve">R34  </w:t>
      </w:r>
      <w:hyperlink r:id="rId49">
        <w:r>
          <w:rPr>
            <w:color w:val="205A75"/>
            <w:u w:val="single"/>
            <w:sz w:val="20"/>
          </w:rPr>
          <w:t>Hyperbaric Medicine</w:t>
        </w:r>
      </w:hyperlink>
    </w:p>
    <w:p>
      <w:pPr>
        <w:spacing w:after="120"/>
      </w:pPr>
      <w:r>
        <w:rPr>
          <w:sz w:val="20"/>
        </w:rPr>
        <w:t>Royal Brisbane and Women's Hospital, Metro North Health. Service information and linked patient booklet on indications, preparation, equipment restrictions, monitoring and aftercare.</w:t>
      </w:r>
    </w:p>
    <w:p>
      <w:pPr>
        <w:keepNext/>
        <w:spacing w:before="120" w:after="60"/>
      </w:pPr>
      <w:r>
        <w:rPr>
          <w:b/>
          <w:sz w:val="21"/>
        </w:rPr>
        <w:t xml:space="preserve">R35  </w:t>
      </w:r>
      <w:hyperlink r:id="rId50">
        <w:r>
          <w:rPr>
            <w:color w:val="205A75"/>
            <w:u w:val="single"/>
            <w:sz w:val="20"/>
          </w:rPr>
          <w:t>Hyperbaric oxygen in Alzheimer disease and mild cognitive impairment</w:t>
        </w:r>
      </w:hyperlink>
    </w:p>
    <w:p>
      <w:pPr>
        <w:spacing w:after="120"/>
      </w:pPr>
      <w:r>
        <w:rPr>
          <w:sz w:val="20"/>
        </w:rPr>
        <w:t>Chen and colleagues, 2020, Alzheimer's and Dementia Translational Research and Clinical Interventions, e12030. Small study; short term cognitive findings in Alzheimer's were not sustained at three and six months. DOI 10.1002/trc2.12030.</w:t>
      </w:r>
    </w:p>
    <w:p>
      <w:pPr>
        <w:keepNext/>
        <w:spacing w:before="120" w:after="60"/>
      </w:pPr>
      <w:r>
        <w:rPr>
          <w:b/>
          <w:sz w:val="21"/>
        </w:rPr>
        <w:t xml:space="preserve">R36  </w:t>
      </w:r>
      <w:hyperlink r:id="rId51">
        <w:r>
          <w:rPr>
            <w:color w:val="205A75"/>
            <w:u w:val="single"/>
            <w:sz w:val="20"/>
          </w:rPr>
          <w:t>Sauna bathing and later dementia risk</w:t>
        </w:r>
      </w:hyperlink>
    </w:p>
    <w:p>
      <w:pPr>
        <w:spacing w:after="120"/>
      </w:pPr>
      <w:r>
        <w:rPr>
          <w:sz w:val="20"/>
        </w:rPr>
        <w:t>Laukkanen and colleagues, 2017, Age and Ageing, 46, 245 to 249. Observational Finnish male cohort; association with subsequent risk does not demonstrate dementia treatment. DOI 10.1093/ageing/afw212.</w:t>
      </w:r>
    </w:p>
    <w:p>
      <w:pPr>
        <w:keepNext/>
        <w:spacing w:before="120" w:after="60"/>
      </w:pPr>
      <w:r>
        <w:rPr>
          <w:b/>
          <w:sz w:val="21"/>
        </w:rPr>
        <w:t xml:space="preserve">R37  </w:t>
      </w:r>
      <w:hyperlink r:id="rId52">
        <w:r>
          <w:rPr>
            <w:color w:val="205A75"/>
            <w:u w:val="single"/>
            <w:sz w:val="20"/>
          </w:rPr>
          <w:t>Cold water swimming and the heart</w:t>
        </w:r>
      </w:hyperlink>
    </w:p>
    <w:p>
      <w:pPr>
        <w:spacing w:after="120"/>
      </w:pPr>
      <w:r>
        <w:rPr>
          <w:sz w:val="20"/>
        </w:rPr>
        <w:t>British Heart Foundation. Specialist advice on cold shock, circulation and individual assessment; relevant to considering cold immersion.</w:t>
      </w:r>
    </w:p>
    <w:sectPr w:rsidR="00FC693F" w:rsidRPr="0006063C" w:rsidSect="00034616">
      <w:footerReference w:type="default" r:id="rId9"/>
      <w:pgSz w:w="12240" w:h="15840"/>
      <w:pgMar w:top="994" w:right="1123" w:bottom="979" w:left="1123" w:header="720" w:footer="4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sz w:val="17"/>
      </w:rPr>
      <w:t xml:space="preserve">Aura of Intelligence   |   Whole of life support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60" w:line="252" w:lineRule="auto"/>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52" w:lineRule="auto"/>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widowControl/>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52" w:lineRule="auto" w:before="0"/>
      <w:contextualSpacing/>
    </w:pPr>
    <w:rPr>
      <w:rFonts w:asciiTheme="majorHAnsi" w:eastAsiaTheme="majorEastAsia" w:hAnsiTheme="majorHAnsi" w:cstheme="majorBidi" w:ascii="Calibri" w:hAnsi="Calibri"/>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Theme="majorHAnsi" w:eastAsiaTheme="majorEastAsia" w:hAnsiTheme="majorHAnsi" w:cstheme="majorBidi" w:ascii="Calibri" w:hAnsi="Calibri"/>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uraofintelligence.github.io/contact.html" TargetMode="External"/><Relationship Id="rId11" Type="http://schemas.openxmlformats.org/officeDocument/2006/relationships/hyperlink" Target="https://auraofintelligence.github.io/aura-verse-box/personal-aura.html" TargetMode="External"/><Relationship Id="rId12" Type="http://schemas.openxmlformats.org/officeDocument/2006/relationships/hyperlink" Target="https://auraofintelligence.github.io/australian-law-2012-lukes-relevance/pages/your-relevance.html" TargetMode="External"/><Relationship Id="rId13" Type="http://schemas.openxmlformats.org/officeDocument/2006/relationships/hyperlink" Target="https://auraofintelligence.github.io/mutual-futures/" TargetMode="External"/><Relationship Id="rId14" Type="http://schemas.openxmlformats.org/officeDocument/2006/relationships/hyperlink" Target="https://github.com/auraofintelligence/auraofintelligence.github.io" TargetMode="External"/><Relationship Id="rId15" Type="http://schemas.openxmlformats.org/officeDocument/2006/relationships/hyperlink" Target="https://github.com/auraofintelligence/aura-matrix-studio" TargetMode="External"/><Relationship Id="rId16" Type="http://schemas.openxmlformats.org/officeDocument/2006/relationships/hyperlink" Target="https://www.abs.gov.au/statistics/people/population/national-state-and-territory-population/latest-release" TargetMode="External"/><Relationship Id="rId17" Type="http://schemas.openxmlformats.org/officeDocument/2006/relationships/hyperlink" Target="https://www.abs.gov.au/statistics/people/population/regional-population/latest-release" TargetMode="External"/><Relationship Id="rId18" Type="http://schemas.openxmlformats.org/officeDocument/2006/relationships/hyperlink" Target="https://kpmg.com/au/en/media/media-releases/2025/12/south-east-queensland-population-soars.html" TargetMode="External"/><Relationship Id="rId19" Type="http://schemas.openxmlformats.org/officeDocument/2006/relationships/hyperlink" Target="https://www.abs.gov.au/statistics/health/disability/disability-ageing-and-carers-australia-summary-findings/2022" TargetMode="External"/><Relationship Id="rId20" Type="http://schemas.openxmlformats.org/officeDocument/2006/relationships/hyperlink" Target="https://www.aihw.gov.au/reports/dementia/dementia-in-aus/contents/summary" TargetMode="External"/><Relationship Id="rId21" Type="http://schemas.openxmlformats.org/officeDocument/2006/relationships/hyperlink" Target="https://www.aihw.gov.au/reports/dementia/dementia-in-aus/contents/younger-onset-and-childhood-dementia/population-health-impacts-younger-onset-dementia" TargetMode="External"/><Relationship Id="rId22" Type="http://schemas.openxmlformats.org/officeDocument/2006/relationships/hyperlink" Target="https://www.dementia.org.au/about-dementia/young-onset-dementia" TargetMode="External"/><Relationship Id="rId23" Type="http://schemas.openxmlformats.org/officeDocument/2006/relationships/hyperlink" Target="https://www.royalcommission.gov.au/system/files/2021-03/final-report-executive-summary.pdf" TargetMode="External"/><Relationship Id="rId24" Type="http://schemas.openxmlformats.org/officeDocument/2006/relationships/hyperlink" Target="https://disability.royalcommission.gov.au/publications/final-report-volume-6-enabling-autonomy-and-access" TargetMode="External"/><Relationship Id="rId25" Type="http://schemas.openxmlformats.org/officeDocument/2006/relationships/hyperlink" Target="https://www.health.gov.au/our-work/aged-care-act/about" TargetMode="External"/><Relationship Id="rId26" Type="http://schemas.openxmlformats.org/officeDocument/2006/relationships/hyperlink" Target="https://www.ndiscommission.gov.au/rules-and-standards/ndis-practice-standards/core-module-rights-and-responsibilities" TargetMode="External"/><Relationship Id="rId27" Type="http://schemas.openxmlformats.org/officeDocument/2006/relationships/hyperlink" Target="https://www.health.gov.au/resources/publications/strengthened-aged-care-quality-standards?language=en" TargetMode="External"/><Relationship Id="rId28" Type="http://schemas.openxmlformats.org/officeDocument/2006/relationships/hyperlink" Target="https://www.who.int/publications/i/item/9789240103726" TargetMode="External"/><Relationship Id="rId29" Type="http://schemas.openxmlformats.org/officeDocument/2006/relationships/hyperlink" Target="https://www.nice.org.uk/guidance/ng97/chapter/recommendations" TargetMode="External"/><Relationship Id="rId30" Type="http://schemas.openxmlformats.org/officeDocument/2006/relationships/hyperlink" Target="https://www.alzint.org/resource/world-alzheimer-report-2020/" TargetMode="External"/><Relationship Id="rId31" Type="http://schemas.openxmlformats.org/officeDocument/2006/relationships/hyperlink" Target="https://www.ndis.gov.au/participants/assistive-technology/assistive-technology-and-advisors/what-assistive-technology" TargetMode="External"/><Relationship Id="rId32" Type="http://schemas.openxmlformats.org/officeDocument/2006/relationships/hyperlink" Target="https://www.ndis.gov.au/applying/eligibility-requirements/what-are-age-requirements" TargetMode="External"/><Relationship Id="rId33" Type="http://schemas.openxmlformats.org/officeDocument/2006/relationships/hyperlink" Target="https://www.myagedcare.gov.au/should-i-apply" TargetMode="External"/><Relationship Id="rId34" Type="http://schemas.openxmlformats.org/officeDocument/2006/relationships/hyperlink" Target="https://www.myagedcare.gov.au/support-at-home" TargetMode="External"/><Relationship Id="rId35" Type="http://schemas.openxmlformats.org/officeDocument/2006/relationships/hyperlink" Target="https://www.myagedcare.gov.au/aged-care-programs/assistive-technology-and-home-modifications-scheme" TargetMode="External"/><Relationship Id="rId36" Type="http://schemas.openxmlformats.org/officeDocument/2006/relationships/hyperlink" Target="https://www.dementia.org.au/living-dementia/care-options/residential-care" TargetMode="External"/><Relationship Id="rId37" Type="http://schemas.openxmlformats.org/officeDocument/2006/relationships/hyperlink" Target="https://www.ndis.gov.au/participants/life-transitions/transitioning-other-systems/guide-residential-aged-care" TargetMode="External"/><Relationship Id="rId38" Type="http://schemas.openxmlformats.org/officeDocument/2006/relationships/hyperlink" Target="https://research.bangor.ac.uk/en/publications/individual-goal-oriented-cognitive-rehabilitation-to-improve-ever/" TargetMode="External"/><Relationship Id="rId39" Type="http://schemas.openxmlformats.org/officeDocument/2006/relationships/hyperlink" Target="https://pmc.ncbi.nlm.nih.gov/articles/PMC5034922/" TargetMode="External"/><Relationship Id="rId40" Type="http://schemas.openxmlformats.org/officeDocument/2006/relationships/hyperlink" Target="https://www.qld.gov.au/health/support/advance-care-planning/forms" TargetMode="External"/><Relationship Id="rId41" Type="http://schemas.openxmlformats.org/officeDocument/2006/relationships/hyperlink" Target="https://www.oaic.gov.au/privacy/privacy-guidance-for-organisations-and-government-agencies/health-service-providers/guide-to-health-privacy/chapter-7-disclosing-information-about-patients-with-impaired-capacity" TargetMode="External"/><Relationship Id="rId42" Type="http://schemas.openxmlformats.org/officeDocument/2006/relationships/hyperlink" Target="https://www.tga.gov.au/resources/guidance/understanding-how-we-regulate-software-based-medical-devices" TargetMode="External"/><Relationship Id="rId43" Type="http://schemas.openxmlformats.org/officeDocument/2006/relationships/hyperlink" Target="https://www.nhmrc.gov.au/about-us/publications/national-statement-ethical-conduct-human-research-2025" TargetMode="External"/><Relationship Id="rId44" Type="http://schemas.openxmlformats.org/officeDocument/2006/relationships/hyperlink" Target="https://internationalaisafetyreport.org/publication/international-ai-safety-report-2026" TargetMode="External"/><Relationship Id="rId45" Type="http://schemas.openxmlformats.org/officeDocument/2006/relationships/hyperlink" Target="https://www.tga.gov.au/products/medical-devices/software-and-artificial-intelligence-ai/manufacturing/artificial-intelligence-ai-and-medical-device-software-regulation" TargetMode="External"/><Relationship Id="rId46" Type="http://schemas.openxmlformats.org/officeDocument/2006/relationships/hyperlink" Target="https://www.tga.gov.au/resources/guidance/australian-clinical-trial-handbook" TargetMode="External"/><Relationship Id="rId47" Type="http://schemas.openxmlformats.org/officeDocument/2006/relationships/hyperlink" Target="https://www.qcat.qld.gov.au/case-types/clinical-research" TargetMode="External"/><Relationship Id="rId48" Type="http://schemas.openxmlformats.org/officeDocument/2006/relationships/hyperlink" Target="https://www.qcat.qld.gov.au/case-types/special-health-care" TargetMode="External"/><Relationship Id="rId49" Type="http://schemas.openxmlformats.org/officeDocument/2006/relationships/hyperlink" Target="https://metronorth.health.qld.gov.au/rbwh/healthcare-services/hyperbaric-medicine" TargetMode="External"/><Relationship Id="rId50" Type="http://schemas.openxmlformats.org/officeDocument/2006/relationships/hyperlink" Target="https://pmc.ncbi.nlm.nih.gov/articles/PMC7293997/" TargetMode="External"/><Relationship Id="rId51" Type="http://schemas.openxmlformats.org/officeDocument/2006/relationships/hyperlink" Target="https://academic.oup.com/ageing/article/46/2/245/2654230" TargetMode="External"/><Relationship Id="rId52" Type="http://schemas.openxmlformats.org/officeDocument/2006/relationships/hyperlink" Target="https://www.bhf.org.uk/informationsupport/heart-matters-magazine/activity/cold-water-swim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 of Intelligence for Adaptive Whole of Life Support</dc:title>
  <dc:subject>Dementia disability ageing and continuity through a change of home</dc:subject>
  <dc:creator>Luke Nathan Hayes</dc:creator>
  <cp:keywords>Aura of Intelligence, dementia, NDIS, My Aged Care, memory palace, life story, accessibility</cp:keywords>
  <dc:description>generated by python-docx</dc:description>
  <cp:lastModifiedBy/>
  <cp:revision>1</cp:revision>
  <dcterms:created xsi:type="dcterms:W3CDTF">2013-12-23T23:15:00Z</dcterms:created>
  <dcterms:modified xsi:type="dcterms:W3CDTF">2013-12-23T23:15:00Z</dcterms:modified>
  <cp:category/>
</cp:coreProperties>
</file>