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Escape Room Team Building</w:t>
      </w:r>
    </w:p>
    <w:p>
      <w:pPr>
        <w:pStyle w:val="Subtitle"/>
      </w:pPr>
      <w:r>
        <w:t>ROUND ONE Australian escape room network business plan</w:t>
      </w:r>
    </w:p>
    <w:p>
      <w:pPr>
        <w:pStyle w:val="Metadata"/>
        <w:keepNext/>
      </w:pPr>
      <w:r>
        <w:t>Luke Nathan Hayes  |  30 October 2026  |  ROUND ONE research and calculation edition</w:t>
      </w:r>
    </w:p>
    <w:p>
      <w:bookmarkStart w:id="1" w:name="chapter_index"/>
      <w:pPr>
        <w:pStyle w:val="Heading1"/>
      </w:pPr>
      <w:r>
        <w:t>EXECUTIVE SUMMARY</w:t>
      </w:r>
      <w:bookmarkEnd w:id="1"/>
    </w:p>
    <w:p>
      <w:pPr>
        <w:pStyle w:val="Lead"/>
      </w:pPr>
      <w:r>
        <w:rPr>
          <w:b/>
        </w:rPr>
        <w:t>Distinctive escape rooms across Australia, connected by journeys worth taking, skills worth carrying forward and fresh reasons to return.</w:t>
      </w:r>
    </w:p>
    <w:p>
      <w:bookmarkStart w:id="2" w:name="s_index_The_business_dd25d2"/>
      <w:pPr>
        <w:pStyle w:val="Heading2"/>
      </w:pPr>
      <w:r>
        <w:t>The business</w:t>
      </w:r>
      <w:bookmarkEnd w:id="2"/>
    </w:p>
    <w:p>
      <w:pPr/>
      <w:r>
        <w:t>An Australia-wide network designing escape rooms, linking them into tourism routes and renewing the catalogue for repeat visits. Recorded play supports reflection on language and teamwork, followed by practice in another room or everyday setting. Recording is the standard design, with a clear opt-out.</w:t>
      </w:r>
    </w:p>
    <w:p>
      <w:pPr/>
      <w:hyperlink r:id="rId10">
        <w:r>
          <w:rPr>
            <w:color w:val="275E67"/>
            <w:u w:val="single"/>
          </w:rPr>
          <w:t xml:space="preserve">Aura of Intelligence</w:t>
        </w:r>
      </w:hyperlink>
      <w:r>
        <w:t xml:space="preserve"> connects participant-directed learning across visits. </w:t>
      </w:r>
      <w:hyperlink r:id="rId11">
        <w:r>
          <w:rPr>
            <w:color w:val="275E67"/>
            <w:u w:val="single"/>
          </w:rPr>
          <w:t xml:space="preserve">p4a-xyz-cinema</w:t>
        </w:r>
      </w:hyperlink>
      <w:r>
        <w:t xml:space="preserve"> connects local stories, civic scenarios and public explanations. Paid contractors supply creative, trade and specialist work; AI assists research and computation.</w:t>
      </w:r>
    </w:p>
    <w:p>
      <w:pPr>
        <w:pStyle w:val="SourceNote"/>
      </w:pPr>
      <w:r>
        <w:t xml:space="preserve">Sources: </w:t>
      </w:r>
      <w:hyperlink w:anchor="source_D05">
        <w:r>
          <w:rPr>
            <w:color w:val="275E67"/>
            <w:u w:val="single"/>
          </w:rPr>
          <w:t xml:space="preserve">D05</w:t>
        </w:r>
      </w:hyperlink>
      <w:r>
        <w:t xml:space="preserve">, </w:t>
      </w:r>
      <w:hyperlink w:anchor="source_D07">
        <w:r>
          <w:rPr>
            <w:color w:val="275E67"/>
            <w:u w:val="single"/>
          </w:rPr>
          <w:t xml:space="preserve">D07</w:t>
        </w:r>
      </w:hyperlink>
      <w:r>
        <w:t xml:space="preserve">, </w:t>
      </w:r>
      <w:hyperlink w:anchor="source_P01">
        <w:r>
          <w:rPr>
            <w:color w:val="275E67"/>
            <w:u w:val="single"/>
          </w:rPr>
          <w:t xml:space="preserve">P01</w:t>
        </w:r>
      </w:hyperlink>
      <w:r>
        <w:t xml:space="preserve">, </w:t>
      </w:r>
      <w:hyperlink w:anchor="source_P10">
        <w:r>
          <w:rPr>
            <w:color w:val="275E67"/>
            <w:u w:val="single"/>
          </w:rPr>
          <w:t xml:space="preserve">P10</w:t>
        </w:r>
      </w:hyperlink>
    </w:p>
    <w:p>
      <w:bookmarkStart w:id="3" w:name="s_index_Capacity_and_market_pri_77b1eb"/>
      <w:pPr>
        <w:pStyle w:val="Heading2"/>
      </w:pPr>
      <w:r>
        <w:t>Capacity and market prices</w:t>
      </w:r>
      <w:bookmarkEnd w:id="3"/>
    </w:p>
    <w:p>
      <w:pPr>
        <w:pStyle w:val="SourceNote"/>
        <w:keepNext/>
      </w:pPr>
      <w:r>
        <w:t>Competitor-price comparison · Editable assumptions</w:t>
      </w:r>
    </w:p>
    <w:p>
      <w:pPr/>
      <w:r>
        <w:t xml:space="preserve">Puzzled prices groups of four to six at </w:t>
      </w:r>
      <w:r>
        <w:rPr>
          <w:b/>
        </w:rPr>
        <w:t>$42 per person</w:t>
      </w:r>
      <w:r>
        <w:t xml:space="preserve">, with a six-player room limit. Fox in a Box Brisbane advertises </w:t>
      </w:r>
      <w:r>
        <w:rPr>
          <w:b/>
        </w:rPr>
        <w:t>10 rooms and 60 simultaneous players</w:t>
      </w:r>
      <w:r>
        <w:t xml:space="preserve">. Escape This Perth CBD lists </w:t>
      </w:r>
      <w:r>
        <w:rPr>
          <w:b/>
        </w:rPr>
        <w:t>14 rooms and 108 places</w:t>
      </w:r>
      <w:r>
        <w:t xml:space="preserve">. These are individual venues. Escape This's </w:t>
      </w:r>
      <w:r>
        <w:rPr>
          <w:b/>
        </w:rPr>
        <w:t>48 rooms and 336 places span five venues</w:t>
      </w:r>
      <w:r>
        <w:t>, detailed in the market chapter.</w:t>
      </w:r>
    </w:p>
    <w:p>
      <w:pPr/>
      <w:r>
        <w:t xml:space="preserve">The comparison below uses the $42 competitor price. Timing, attendance and trading inputs are assumptions: </w:t>
      </w:r>
      <w:r>
        <w:rPr>
          <w:b/>
        </w:rPr>
        <w:t>8 offered sessions per room per day, 250 trading days, 50% sold and 5 paying players per sold session</w:t>
      </w:r>
      <w:r>
        <w:t>. A 60-minute game plus 15-minute reset permits eight starts within a ten-hour room window. Briefing, reflection, staff and support space need separate capacity checks.</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3471"/>
        <w:gridCol w:w="1181"/>
        <w:gridCol w:w="2394"/>
        <w:gridCol w:w="3106"/>
      </w:tblGrid>
      <w:tr>
        <w:trPr>
          <w:cantSplit/>
          <w:tblHeader w:val="true"/>
        </w:trPr>
        <w:tc>
          <w:tcPr>
            <w:tcW w:type="dxa" w:w="3471"/>
            <w:vAlign w:val="center"/>
            <w:shd w:fill="203B4C"/>
          </w:tcPr>
          <w:p>
            <w:pPr>
              <w:pStyle w:val="TableHead"/>
              <w:keepNext/>
              <w:keepLines/>
            </w:pPr>
            <w:r>
              <w:rPr>
                <w:color w:val="FFFFFF"/>
              </w:rPr>
              <w:t>Annual comparison</w:t>
            </w:r>
          </w:p>
        </w:tc>
        <w:tc>
          <w:tcPr>
            <w:tcW w:type="dxa" w:w="1181"/>
            <w:vAlign w:val="center"/>
            <w:shd w:fill="203B4C"/>
          </w:tcPr>
          <w:p>
            <w:pPr>
              <w:pStyle w:val="TableHead"/>
              <w:keepNext/>
              <w:keepLines/>
              <w:jc w:val="center"/>
            </w:pPr>
            <w:r>
              <w:rPr>
                <w:color w:val="FFFFFF"/>
              </w:rPr>
              <w:t>One room</w:t>
            </w:r>
          </w:p>
        </w:tc>
        <w:tc>
          <w:tcPr>
            <w:tcW w:type="dxa" w:w="2394"/>
            <w:vAlign w:val="center"/>
            <w:shd w:fill="203B4C"/>
          </w:tcPr>
          <w:p>
            <w:pPr>
              <w:pStyle w:val="TableHead"/>
              <w:keepNext/>
              <w:keepLines/>
              <w:jc w:val="center"/>
            </w:pPr>
            <w:r>
              <w:rPr>
                <w:color w:val="FFFFFF"/>
              </w:rPr>
              <w:t>Four rooms at one location</w:t>
            </w:r>
          </w:p>
        </w:tc>
        <w:tc>
          <w:tcPr>
            <w:tcW w:type="dxa" w:w="3106"/>
            <w:vAlign w:val="center"/>
            <w:shd w:fill="203B4C"/>
          </w:tcPr>
          <w:p>
            <w:pPr>
              <w:pStyle w:val="TableHead"/>
              <w:keepNext/>
              <w:keepLines/>
              <w:jc w:val="center"/>
            </w:pPr>
            <w:r>
              <w:rPr>
                <w:color w:val="FFFFFF"/>
              </w:rPr>
              <w:t>Four rooms at each of five locations</w:t>
            </w:r>
          </w:p>
        </w:tc>
      </w:tr>
      <w:tr>
        <w:trPr>
          <w:cantSplit/>
        </w:trPr>
        <w:tc>
          <w:tcPr>
            <w:tcW w:type="dxa" w:w="3471"/>
            <w:vAlign w:val="top"/>
            <w:shd w:fill="EDF2EE"/>
          </w:tcPr>
          <w:p>
            <w:pPr>
              <w:pStyle w:val="TableText"/>
              <w:keepNext w:val="0"/>
              <w:keepLines/>
            </w:pPr>
            <w:r>
              <w:t>Available team sessions</w:t>
            </w:r>
          </w:p>
        </w:tc>
        <w:tc>
          <w:tcPr>
            <w:tcW w:type="dxa" w:w="1181"/>
            <w:vAlign w:val="center"/>
            <w:shd w:fill="EDF2EE"/>
          </w:tcPr>
          <w:p>
            <w:pPr>
              <w:pStyle w:val="TableText"/>
              <w:keepNext w:val="0"/>
              <w:keepLines/>
              <w:jc w:val="center"/>
            </w:pPr>
            <w:r>
              <w:t>2,000</w:t>
            </w:r>
          </w:p>
        </w:tc>
        <w:tc>
          <w:tcPr>
            <w:tcW w:type="dxa" w:w="2394"/>
            <w:vAlign w:val="center"/>
            <w:shd w:fill="EDF2EE"/>
          </w:tcPr>
          <w:p>
            <w:pPr>
              <w:pStyle w:val="TableText"/>
              <w:keepNext w:val="0"/>
              <w:keepLines/>
              <w:jc w:val="center"/>
            </w:pPr>
            <w:r>
              <w:t>8,000</w:t>
            </w:r>
          </w:p>
        </w:tc>
        <w:tc>
          <w:tcPr>
            <w:tcW w:type="dxa" w:w="3106"/>
            <w:vAlign w:val="center"/>
            <w:shd w:fill="EDF2EE"/>
          </w:tcPr>
          <w:p>
            <w:pPr>
              <w:pStyle w:val="TableText"/>
              <w:keepNext w:val="0"/>
              <w:keepLines/>
              <w:jc w:val="center"/>
            </w:pPr>
            <w:r>
              <w:t>40,000</w:t>
            </w:r>
          </w:p>
        </w:tc>
      </w:tr>
      <w:tr>
        <w:trPr>
          <w:cantSplit/>
        </w:trPr>
        <w:tc>
          <w:tcPr>
            <w:tcW w:type="dxa" w:w="3471"/>
            <w:vAlign w:val="top"/>
            <w:shd w:fill="FFFFFF"/>
          </w:tcPr>
          <w:p>
            <w:pPr>
              <w:pStyle w:val="TableText"/>
              <w:keepNext w:val="0"/>
              <w:keepLines/>
            </w:pPr>
            <w:r>
              <w:t>Sold team sessions</w:t>
            </w:r>
          </w:p>
        </w:tc>
        <w:tc>
          <w:tcPr>
            <w:tcW w:type="dxa" w:w="1181"/>
            <w:vAlign w:val="center"/>
            <w:shd w:fill="FFFFFF"/>
          </w:tcPr>
          <w:p>
            <w:pPr>
              <w:pStyle w:val="TableText"/>
              <w:keepNext w:val="0"/>
              <w:keepLines/>
              <w:jc w:val="center"/>
            </w:pPr>
            <w:r>
              <w:t>1,000</w:t>
            </w:r>
          </w:p>
        </w:tc>
        <w:tc>
          <w:tcPr>
            <w:tcW w:type="dxa" w:w="2394"/>
            <w:vAlign w:val="center"/>
            <w:shd w:fill="FFFFFF"/>
          </w:tcPr>
          <w:p>
            <w:pPr>
              <w:pStyle w:val="TableText"/>
              <w:keepNext w:val="0"/>
              <w:keepLines/>
              <w:jc w:val="center"/>
            </w:pPr>
            <w:r>
              <w:t>4,000</w:t>
            </w:r>
          </w:p>
        </w:tc>
        <w:tc>
          <w:tcPr>
            <w:tcW w:type="dxa" w:w="3106"/>
            <w:vAlign w:val="center"/>
            <w:shd w:fill="FFFFFF"/>
          </w:tcPr>
          <w:p>
            <w:pPr>
              <w:pStyle w:val="TableText"/>
              <w:keepNext w:val="0"/>
              <w:keepLines/>
              <w:jc w:val="center"/>
            </w:pPr>
            <w:r>
              <w:t>20,000</w:t>
            </w:r>
          </w:p>
        </w:tc>
      </w:tr>
      <w:tr>
        <w:trPr>
          <w:cantSplit/>
        </w:trPr>
        <w:tc>
          <w:tcPr>
            <w:tcW w:type="dxa" w:w="3471"/>
            <w:vAlign w:val="top"/>
            <w:shd w:fill="EDF2EE"/>
          </w:tcPr>
          <w:p>
            <w:pPr>
              <w:pStyle w:val="TableText"/>
              <w:keepNext w:val="0"/>
              <w:keepLines/>
            </w:pPr>
            <w:r>
              <w:t>Paid visits</w:t>
            </w:r>
          </w:p>
        </w:tc>
        <w:tc>
          <w:tcPr>
            <w:tcW w:type="dxa" w:w="1181"/>
            <w:vAlign w:val="center"/>
            <w:shd w:fill="EDF2EE"/>
          </w:tcPr>
          <w:p>
            <w:pPr>
              <w:pStyle w:val="TableText"/>
              <w:keepNext w:val="0"/>
              <w:keepLines/>
              <w:jc w:val="center"/>
            </w:pPr>
            <w:r>
              <w:t>5,000</w:t>
            </w:r>
          </w:p>
        </w:tc>
        <w:tc>
          <w:tcPr>
            <w:tcW w:type="dxa" w:w="2394"/>
            <w:vAlign w:val="center"/>
            <w:shd w:fill="EDF2EE"/>
          </w:tcPr>
          <w:p>
            <w:pPr>
              <w:pStyle w:val="TableText"/>
              <w:keepNext w:val="0"/>
              <w:keepLines/>
              <w:jc w:val="center"/>
            </w:pPr>
            <w:r>
              <w:t>20,000</w:t>
            </w:r>
          </w:p>
        </w:tc>
        <w:tc>
          <w:tcPr>
            <w:tcW w:type="dxa" w:w="3106"/>
            <w:vAlign w:val="center"/>
            <w:shd w:fill="EDF2EE"/>
          </w:tcPr>
          <w:p>
            <w:pPr>
              <w:pStyle w:val="TableText"/>
              <w:keepNext w:val="0"/>
              <w:keepLines/>
              <w:jc w:val="center"/>
            </w:pPr>
            <w:r>
              <w:t>100,000</w:t>
            </w:r>
          </w:p>
        </w:tc>
      </w:tr>
      <w:tr>
        <w:trPr>
          <w:cantSplit/>
        </w:trPr>
        <w:tc>
          <w:tcPr>
            <w:tcW w:type="dxa" w:w="3471"/>
            <w:vAlign w:val="top"/>
            <w:shd w:fill="FFFFFF"/>
          </w:tcPr>
          <w:p>
            <w:pPr>
              <w:pStyle w:val="TableText"/>
              <w:keepNext w:val="0"/>
              <w:keepLines/>
            </w:pPr>
            <w:r>
              <w:t>Ticket receipts including assumed GST</w:t>
            </w:r>
          </w:p>
        </w:tc>
        <w:tc>
          <w:tcPr>
            <w:tcW w:type="dxa" w:w="1181"/>
            <w:vAlign w:val="center"/>
            <w:shd w:fill="FFFFFF"/>
          </w:tcPr>
          <w:p>
            <w:pPr>
              <w:pStyle w:val="TableText"/>
              <w:keepNext w:val="0"/>
              <w:keepLines/>
              <w:jc w:val="center"/>
            </w:pPr>
            <w:r>
              <w:t>$210,000</w:t>
            </w:r>
          </w:p>
        </w:tc>
        <w:tc>
          <w:tcPr>
            <w:tcW w:type="dxa" w:w="2394"/>
            <w:vAlign w:val="center"/>
            <w:shd w:fill="FFFFFF"/>
          </w:tcPr>
          <w:p>
            <w:pPr>
              <w:pStyle w:val="TableText"/>
              <w:keepNext w:val="0"/>
              <w:keepLines/>
              <w:jc w:val="center"/>
            </w:pPr>
            <w:r>
              <w:t>$840,000</w:t>
            </w:r>
          </w:p>
        </w:tc>
        <w:tc>
          <w:tcPr>
            <w:tcW w:type="dxa" w:w="3106"/>
            <w:vAlign w:val="center"/>
            <w:shd w:fill="FFFFFF"/>
          </w:tcPr>
          <w:p>
            <w:pPr>
              <w:pStyle w:val="TableText"/>
              <w:keepNext w:val="0"/>
              <w:keepLines/>
              <w:jc w:val="center"/>
            </w:pPr>
            <w:r>
              <w:t>$4,200,000</w:t>
            </w:r>
          </w:p>
        </w:tc>
      </w:tr>
      <w:tr>
        <w:trPr>
          <w:cantSplit/>
        </w:trPr>
        <w:tc>
          <w:tcPr>
            <w:tcW w:type="dxa" w:w="3471"/>
            <w:vAlign w:val="top"/>
            <w:shd w:fill="EDF2EE"/>
          </w:tcPr>
          <w:p>
            <w:pPr>
              <w:pStyle w:val="TableText"/>
              <w:keepNext w:val="0"/>
              <w:keepLines/>
            </w:pPr>
            <w:r>
              <w:t>Ticket sales excluding assumed 10% GST</w:t>
            </w:r>
          </w:p>
        </w:tc>
        <w:tc>
          <w:tcPr>
            <w:tcW w:type="dxa" w:w="1181"/>
            <w:vAlign w:val="center"/>
            <w:shd w:fill="EDF2EE"/>
          </w:tcPr>
          <w:p>
            <w:pPr>
              <w:pStyle w:val="TableText"/>
              <w:keepNext w:val="0"/>
              <w:keepLines/>
              <w:jc w:val="center"/>
            </w:pPr>
            <w:r>
              <w:t>$190,909</w:t>
            </w:r>
          </w:p>
        </w:tc>
        <w:tc>
          <w:tcPr>
            <w:tcW w:type="dxa" w:w="2394"/>
            <w:vAlign w:val="center"/>
            <w:shd w:fill="EDF2EE"/>
          </w:tcPr>
          <w:p>
            <w:pPr>
              <w:pStyle w:val="TableText"/>
              <w:keepNext w:val="0"/>
              <w:keepLines/>
              <w:jc w:val="center"/>
            </w:pPr>
            <w:r>
              <w:t>$763,636</w:t>
            </w:r>
          </w:p>
        </w:tc>
        <w:tc>
          <w:tcPr>
            <w:tcW w:type="dxa" w:w="3106"/>
            <w:vAlign w:val="center"/>
            <w:shd w:fill="EDF2EE"/>
          </w:tcPr>
          <w:p>
            <w:pPr>
              <w:pStyle w:val="TableText"/>
              <w:keepNext w:val="0"/>
              <w:keepLines/>
              <w:jc w:val="center"/>
            </w:pPr>
            <w:r>
              <w:t>$3,818,182</w:t>
            </w:r>
          </w:p>
        </w:tc>
      </w:tr>
    </w:tbl>
    <w:p>
      <w:pPr>
        <w:spacing w:after="20" w:before="0" w:line="240" w:lineRule="auto"/>
      </w:pPr>
      <w:r>
        <w:rPr>
          <w:sz w:val="6"/>
        </w:rPr>
      </w:r>
    </w:p>
    <w:p>
      <w:pPr/>
      <w:r>
        <w:t>These are ticket-turnover comparisons before costs. Each location is assumed to achieve the same attendance. At four or six players per sold session, the one-room receipt comparison becomes $168,000 or $252,000. The calculator changes price, group size, demand, timing, rooms and locations together.</w:t>
      </w:r>
    </w:p>
    <w:p>
      <w:pPr>
        <w:pStyle w:val="SourceNote"/>
      </w:pPr>
      <w:r>
        <w:t xml:space="preserve">Sources: </w:t>
      </w:r>
      <w:hyperlink w:anchor="source_M07">
        <w:r>
          <w:rPr>
            <w:color w:val="275E67"/>
            <w:u w:val="single"/>
          </w:rPr>
          <w:t xml:space="preserve">M07</w:t>
        </w:r>
      </w:hyperlink>
      <w:r>
        <w:t xml:space="preserve">, </w:t>
      </w:r>
      <w:hyperlink w:anchor="source_M10">
        <w:r>
          <w:rPr>
            <w:color w:val="275E67"/>
            <w:u w:val="single"/>
          </w:rPr>
          <w:t xml:space="preserve">M10</w:t>
        </w:r>
      </w:hyperlink>
      <w:r>
        <w:t xml:space="preserve">, </w:t>
      </w:r>
      <w:hyperlink w:anchor="source_M18">
        <w:r>
          <w:rPr>
            <w:color w:val="275E67"/>
            <w:u w:val="single"/>
          </w:rPr>
          <w:t xml:space="preserve">M18</w:t>
        </w:r>
      </w:hyperlink>
    </w:p>
    <w:p>
      <w:pPr>
        <w:pStyle w:val="SourceNote"/>
      </w:pPr>
      <w:hyperlink r:id="rId12">
        <w:r>
          <w:rPr>
            <w:color w:val="275E67"/>
            <w:u w:val="single"/>
          </w:rPr>
          <w:t xml:space="preserve">Change inputs in the online calculator</w:t>
        </w:r>
      </w:hyperlink>
    </w:p>
    <w:p>
      <w:bookmarkStart w:id="4" w:name="s_index_Commercial_questions_d583eb"/>
      <w:pPr>
        <w:pStyle w:val="Heading2"/>
      </w:pPr>
      <w:r>
        <w:t>Commercial questions</w:t>
      </w:r>
      <w:bookmarkEnd w:id="4"/>
    </w:p>
    <w:p>
      <w:pPr/>
      <w:r>
        <w:t>The revenue opportunities are local admissions and workshops; room design and installation; network booking and support; and paid maintenance, renewal and rotation. Each needs its own cost and customer evidence.</w:t>
      </w:r>
    </w:p>
    <w:p>
      <w:pPr/>
      <w:r>
        <w:t>The largest gaps are delivered premises and room costs, recording performance and review time, a feasible paid roster, local demand and repeat bookings. Supplier benchmarks appear in the economics chapter. The finance calculator withholds an operating result until its cost fields are completed.</w:t>
      </w:r>
    </w:p>
    <w:p>
      <w:pPr/>
      <w:r>
        <w:t>ROUND ONE provides research and comparison inputs for Luke Nathan Hayes to review. Commercial choices remain open.</w:t>
      </w:r>
    </w:p>
    <w:p>
      <w:pPr>
        <w:keepNext/>
        <w:spacing w:before="160" w:after="80"/>
        <w:jc w:val="center"/>
      </w:pPr>
      <w:r>
        <w:drawing>
          <wp:inline xmlns:a="http://schemas.openxmlformats.org/drawingml/2006/main" xmlns:pic="http://schemas.openxmlformats.org/drawingml/2006/picture">
            <wp:extent cx="4754880" cy="2676042"/>
            <wp:docPr id="1" name="Picture 1" descr="A welcoming Australian regional heritage warehouse converted into a beautiful immersive escape room venue."/>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754880" cy="2676042"/>
                    </a:xfrm>
                    <a:prstGeom prst="rect"/>
                  </pic:spPr>
                </pic:pic>
              </a:graphicData>
            </a:graphic>
          </wp:inline>
        </w:drawing>
      </w:r>
    </w:p>
    <w:p>
      <w:pPr>
        <w:pStyle w:val="SourceNote"/>
        <w:keepLines/>
        <w:jc w:val="center"/>
      </w:pPr>
      <w:r>
        <w:t>Original AI-generated concept artwork for this business plan.</w:t>
      </w:r>
    </w:p>
    <w:p>
      <w:bookmarkStart w:id="5" w:name="contents"/>
      <w:pPr>
        <w:pStyle w:val="Heading1"/>
        <w:pageBreakBefore w:val="0"/>
        <w:spacing w:before="280"/>
      </w:pPr>
      <w:r>
        <w:t>CONTENTS</w:t>
      </w:r>
      <w:bookmarkEnd w:id="5"/>
    </w:p>
    <w:p>
      <w:pPr>
        <w:pStyle w:val="Contents"/>
      </w:pPr>
      <w:hyperlink w:anchor="chapter_index">
        <w:r>
          <w:rPr>
            <w:color w:val="275E67"/>
            <w:u w:val="single"/>
          </w:rPr>
          <w:t xml:space="preserve">Executive summary</w:t>
        </w:r>
      </w:hyperlink>
    </w:p>
    <w:p>
      <w:pPr>
        <w:pStyle w:val="Contents"/>
      </w:pPr>
      <w:hyperlink w:anchor="chapter_market">
        <w:r>
          <w:rPr>
            <w:color w:val="275E67"/>
            <w:u w:val="single"/>
          </w:rPr>
          <w:t xml:space="preserve">Market and venue evidence</w:t>
        </w:r>
      </w:hyperlink>
    </w:p>
    <w:p>
      <w:pPr>
        <w:pStyle w:val="Contents"/>
      </w:pPr>
      <w:hyperlink w:anchor="chapter_network_tourism">
        <w:r>
          <w:rPr>
            <w:color w:val="275E67"/>
            <w:u w:val="single"/>
          </w:rPr>
          <w:t xml:space="preserve">Network and tourism</w:t>
        </w:r>
      </w:hyperlink>
    </w:p>
    <w:p>
      <w:pPr>
        <w:pStyle w:val="Contents"/>
      </w:pPr>
      <w:hyperlink w:anchor="chapter_deployment">
        <w:r>
          <w:rPr>
            <w:color w:val="275E67"/>
            <w:u w:val="single"/>
          </w:rPr>
          <w:t xml:space="preserve">Room design and deployment</w:t>
        </w:r>
      </w:hyperlink>
    </w:p>
    <w:p>
      <w:pPr>
        <w:pStyle w:val="Contents"/>
      </w:pPr>
      <w:hyperlink w:anchor="chapter_economics">
        <w:r>
          <w:rPr>
            <w:color w:val="275E67"/>
            <w:u w:val="single"/>
          </w:rPr>
          <w:t xml:space="preserve">Cost evidence and calculators</w:t>
        </w:r>
      </w:hyperlink>
    </w:p>
    <w:p>
      <w:pPr>
        <w:pStyle w:val="Contents"/>
      </w:pPr>
      <w:hyperlink w:anchor="chapter_finance">
        <w:r>
          <w:rPr>
            <w:color w:val="275E67"/>
            <w:u w:val="single"/>
          </w:rPr>
          <w:t xml:space="preserve">Finance formulas and calculators</w:t>
        </w:r>
      </w:hyperlink>
    </w:p>
    <w:p>
      <w:pPr>
        <w:pStyle w:val="Contents"/>
      </w:pPr>
      <w:hyperlink w:anchor="chapter_learning">
        <w:r>
          <w:rPr>
            <w:color w:val="275E67"/>
            <w:u w:val="single"/>
          </w:rPr>
          <w:t xml:space="preserve">Language teamwork and skill transfer</w:t>
        </w:r>
      </w:hyperlink>
    </w:p>
    <w:p>
      <w:pPr>
        <w:pStyle w:val="Contents"/>
      </w:pPr>
      <w:hyperlink w:anchor="chapter_agent_roles">
        <w:r>
          <w:rPr>
            <w:color w:val="275E67"/>
            <w:u w:val="single"/>
          </w:rPr>
          <w:t xml:space="preserve">Research computation and paid work</w:t>
        </w:r>
      </w:hyperlink>
    </w:p>
    <w:p>
      <w:pPr>
        <w:pStyle w:val="Contents"/>
      </w:pPr>
      <w:hyperlink w:anchor="chapter_renewal">
        <w:r>
          <w:rPr>
            <w:color w:val="275E67"/>
            <w:u w:val="single"/>
          </w:rPr>
          <w:t xml:space="preserve">Renewal and rotation</w:t>
        </w:r>
      </w:hyperlink>
    </w:p>
    <w:p>
      <w:pPr>
        <w:pStyle w:val="Contents"/>
      </w:pPr>
      <w:hyperlink w:anchor="chapter_partnerships">
        <w:r>
          <w:rPr>
            <w:color w:val="275E67"/>
            <w:u w:val="single"/>
          </w:rPr>
          <w:t xml:space="preserve">Local enterprise and partnerships</w:t>
        </w:r>
      </w:hyperlink>
    </w:p>
    <w:p>
      <w:pPr>
        <w:pStyle w:val="Contents"/>
      </w:pPr>
      <w:hyperlink w:anchor="chapter_roadmap">
        <w:r>
          <w:rPr>
            <w:color w:val="275E67"/>
            <w:u w:val="single"/>
          </w:rPr>
          <w:t xml:space="preserve">Research priorities</w:t>
        </w:r>
      </w:hyperlink>
    </w:p>
    <w:p>
      <w:pPr>
        <w:pStyle w:val="Contents"/>
      </w:pPr>
      <w:hyperlink w:anchor="source_register">
        <w:r>
          <w:rPr>
            <w:color w:val="275E67"/>
            <w:u w:val="single"/>
          </w:rPr>
          <w:t xml:space="preserve">Sources and project inventory</w:t>
        </w:r>
      </w:hyperlink>
    </w:p>
    <w:p>
      <w:pPr>
        <w:pStyle w:val="Contents"/>
      </w:pPr>
      <w:hyperlink w:anchor="rights">
        <w:r>
          <w:rPr>
            <w:color w:val="275E67"/>
            <w:u w:val="single"/>
          </w:rPr>
          <w:t xml:space="preserve">Rights and provenance</w:t>
        </w:r>
      </w:hyperlink>
    </w:p>
    <w:p>
      <w:pPr>
        <w:pStyle w:val="Contents"/>
      </w:pPr>
      <w:hyperlink w:anchor="licence">
        <w:r>
          <w:rPr>
            <w:color w:val="275E67"/>
            <w:u w:val="single"/>
          </w:rPr>
          <w:t xml:space="preserve">Strange But True Public Source Licence</w:t>
        </w:r>
      </w:hyperlink>
    </w:p>
    <w:p>
      <w:pPr>
        <w:pStyle w:val="SourceNote"/>
      </w:pPr>
      <w:hyperlink r:id="rId14">
        <w:r>
          <w:rPr>
            <w:color w:val="275E67"/>
            <w:u w:val="single"/>
          </w:rPr>
          <w:t xml:space="preserve">Online business plan</w:t>
        </w:r>
      </w:hyperlink>
      <w:r>
        <w:t xml:space="preserve">  |  </w:t>
      </w:r>
      <w:hyperlink r:id="rId15">
        <w:r>
          <w:rPr>
            <w:color w:val="275E67"/>
            <w:u w:val="single"/>
          </w:rPr>
          <w:t xml:space="preserve">Source files and full reference trail</w:t>
        </w:r>
      </w:hyperlink>
    </w:p>
    <w:p>
      <w:bookmarkStart w:id="6" w:name="chapter_market"/>
      <w:pPr>
        <w:pStyle w:val="Heading1"/>
        <w:pageBreakBefore/>
      </w:pPr>
      <w:r>
        <w:t>Market and venue evidence</w:t>
      </w:r>
      <w:bookmarkEnd w:id="6"/>
    </w:p>
    <w:p>
      <w:pPr>
        <w:pStyle w:val="Lead"/>
      </w:pPr>
      <w:r>
        <w:t>Venue capacity, published offers and the evidence needed for a local market case.</w:t>
      </w:r>
    </w:p>
    <w:p>
      <w:bookmarkStart w:id="7" w:name="s_market_Rooms_and_simultaneous_224d4d"/>
      <w:pPr>
        <w:pStyle w:val="Heading2"/>
      </w:pPr>
      <w:r>
        <w:t>Rooms and simultaneous players</w:t>
      </w:r>
      <w:bookmarkEnd w:id="7"/>
    </w:p>
    <w:p>
      <w:pPr>
        <w:pStyle w:val="SourceNote"/>
        <w:keepNext/>
      </w:pPr>
      <w:r>
        <w:t>Checked 30 Oct 2026</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2278"/>
        <w:gridCol w:w="2379"/>
        <w:gridCol w:w="1278"/>
        <w:gridCol w:w="2300"/>
        <w:gridCol w:w="1917"/>
      </w:tblGrid>
      <w:tr>
        <w:trPr>
          <w:cantSplit/>
          <w:tblHeader w:val="true"/>
        </w:trPr>
        <w:tc>
          <w:tcPr>
            <w:tcW w:type="dxa" w:w="2278"/>
            <w:vAlign w:val="center"/>
            <w:shd w:fill="203B4C"/>
          </w:tcPr>
          <w:p>
            <w:pPr>
              <w:pStyle w:val="TableHead"/>
              <w:keepNext/>
              <w:keepLines/>
            </w:pPr>
            <w:r>
              <w:rPr>
                <w:color w:val="FFFFFF"/>
              </w:rPr>
              <w:t>Operator</w:t>
            </w:r>
          </w:p>
        </w:tc>
        <w:tc>
          <w:tcPr>
            <w:tcW w:type="dxa" w:w="2379"/>
            <w:vAlign w:val="center"/>
            <w:shd w:fill="203B4C"/>
          </w:tcPr>
          <w:p>
            <w:pPr>
              <w:pStyle w:val="TableHead"/>
              <w:keepNext/>
              <w:keepLines/>
            </w:pPr>
            <w:r>
              <w:rPr>
                <w:color w:val="FFFFFF"/>
              </w:rPr>
              <w:t>Single venue</w:t>
            </w:r>
          </w:p>
        </w:tc>
        <w:tc>
          <w:tcPr>
            <w:tcW w:type="dxa" w:w="1278"/>
            <w:vAlign w:val="center"/>
            <w:shd w:fill="203B4C"/>
          </w:tcPr>
          <w:p>
            <w:pPr>
              <w:pStyle w:val="TableHead"/>
              <w:keepNext/>
              <w:keepLines/>
              <w:jc w:val="center"/>
            </w:pPr>
            <w:r>
              <w:rPr>
                <w:color w:val="FFFFFF"/>
              </w:rPr>
              <w:t>Rooms</w:t>
            </w:r>
          </w:p>
        </w:tc>
        <w:tc>
          <w:tcPr>
            <w:tcW w:type="dxa" w:w="2300"/>
            <w:vAlign w:val="center"/>
            <w:shd w:fill="203B4C"/>
          </w:tcPr>
          <w:p>
            <w:pPr>
              <w:pStyle w:val="TableHead"/>
              <w:keepNext/>
              <w:keepLines/>
              <w:jc w:val="center"/>
            </w:pPr>
            <w:r>
              <w:rPr>
                <w:color w:val="FFFFFF"/>
              </w:rPr>
              <w:t>Simultaneous players</w:t>
            </w:r>
          </w:p>
        </w:tc>
        <w:tc>
          <w:tcPr>
            <w:tcW w:type="dxa" w:w="1917"/>
            <w:vAlign w:val="center"/>
            <w:shd w:fill="203B4C"/>
          </w:tcPr>
          <w:p>
            <w:pPr>
              <w:pStyle w:val="TableHead"/>
              <w:keepNext/>
              <w:keepLines/>
            </w:pPr>
            <w:r>
              <w:rPr>
                <w:color w:val="FFFFFF"/>
              </w:rPr>
              <w:t>Source</w:t>
            </w:r>
          </w:p>
        </w:tc>
      </w:tr>
      <w:tr>
        <w:trPr>
          <w:cantSplit/>
        </w:trPr>
        <w:tc>
          <w:tcPr>
            <w:tcW w:type="dxa" w:w="2278"/>
            <w:vAlign w:val="top"/>
            <w:shd w:fill="EDF2EE"/>
          </w:tcPr>
          <w:p>
            <w:pPr>
              <w:pStyle w:val="TableText"/>
              <w:keepNext w:val="0"/>
              <w:keepLines/>
            </w:pPr>
            <w:r>
              <w:t>Escape This</w:t>
            </w:r>
          </w:p>
        </w:tc>
        <w:tc>
          <w:tcPr>
            <w:tcW w:type="dxa" w:w="2379"/>
            <w:vAlign w:val="top"/>
            <w:shd w:fill="EDF2EE"/>
          </w:tcPr>
          <w:p>
            <w:pPr>
              <w:pStyle w:val="TableText"/>
              <w:keepNext w:val="0"/>
              <w:keepLines/>
            </w:pPr>
            <w:r>
              <w:t>Perth CBD</w:t>
            </w:r>
          </w:p>
        </w:tc>
        <w:tc>
          <w:tcPr>
            <w:tcW w:type="dxa" w:w="1278"/>
            <w:vAlign w:val="center"/>
            <w:shd w:fill="EDF2EE"/>
          </w:tcPr>
          <w:p>
            <w:pPr>
              <w:pStyle w:val="TableText"/>
              <w:keepNext w:val="0"/>
              <w:keepLines/>
              <w:jc w:val="center"/>
            </w:pPr>
            <w:r>
              <w:t>14</w:t>
            </w:r>
          </w:p>
        </w:tc>
        <w:tc>
          <w:tcPr>
            <w:tcW w:type="dxa" w:w="2300"/>
            <w:vAlign w:val="center"/>
            <w:shd w:fill="EDF2EE"/>
          </w:tcPr>
          <w:p>
            <w:pPr>
              <w:pStyle w:val="TableText"/>
              <w:keepNext w:val="0"/>
              <w:keepLines/>
              <w:jc w:val="center"/>
            </w:pPr>
            <w:r>
              <w:t>108</w:t>
            </w:r>
          </w:p>
        </w:tc>
        <w:tc>
          <w:tcPr>
            <w:tcW w:type="dxa" w:w="1917"/>
            <w:vAlign w:val="top"/>
            <w:shd w:fill="EDF2EE"/>
          </w:tcPr>
          <w:p>
            <w:pPr>
              <w:pStyle w:val="TableText"/>
              <w:keepNext w:val="0"/>
              <w:keepLines/>
            </w:pPr>
            <w:hyperlink w:anchor="source_M10">
              <w:r>
                <w:rPr>
                  <w:color w:val="275E67"/>
                  <w:u w:val="single"/>
                </w:rPr>
                <w:t xml:space="preserve">M10</w:t>
              </w:r>
            </w:hyperlink>
          </w:p>
        </w:tc>
      </w:tr>
      <w:tr>
        <w:trPr>
          <w:cantSplit/>
        </w:trPr>
        <w:tc>
          <w:tcPr>
            <w:tcW w:type="dxa" w:w="2278"/>
            <w:vAlign w:val="top"/>
            <w:shd w:fill="FFFFFF"/>
          </w:tcPr>
          <w:p>
            <w:pPr>
              <w:pStyle w:val="TableText"/>
              <w:keepNext w:val="0"/>
              <w:keepLines/>
            </w:pPr>
            <w:r>
              <w:t>Escape This</w:t>
            </w:r>
          </w:p>
        </w:tc>
        <w:tc>
          <w:tcPr>
            <w:tcW w:type="dxa" w:w="2379"/>
            <w:vAlign w:val="top"/>
            <w:shd w:fill="FFFFFF"/>
          </w:tcPr>
          <w:p>
            <w:pPr>
              <w:pStyle w:val="TableText"/>
              <w:keepNext w:val="0"/>
              <w:keepLines/>
            </w:pPr>
            <w:r>
              <w:t>Northbridge</w:t>
            </w:r>
          </w:p>
        </w:tc>
        <w:tc>
          <w:tcPr>
            <w:tcW w:type="dxa" w:w="1278"/>
            <w:vAlign w:val="center"/>
            <w:shd w:fill="FFFFFF"/>
          </w:tcPr>
          <w:p>
            <w:pPr>
              <w:pStyle w:val="TableText"/>
              <w:keepNext w:val="0"/>
              <w:keepLines/>
              <w:jc w:val="center"/>
            </w:pPr>
            <w:r>
              <w:t>9</w:t>
            </w:r>
          </w:p>
        </w:tc>
        <w:tc>
          <w:tcPr>
            <w:tcW w:type="dxa" w:w="2300"/>
            <w:vAlign w:val="center"/>
            <w:shd w:fill="FFFFFF"/>
          </w:tcPr>
          <w:p>
            <w:pPr>
              <w:pStyle w:val="TableText"/>
              <w:keepNext w:val="0"/>
              <w:keepLines/>
              <w:jc w:val="center"/>
            </w:pPr>
            <w:r>
              <w:t>62</w:t>
            </w:r>
          </w:p>
        </w:tc>
        <w:tc>
          <w:tcPr>
            <w:tcW w:type="dxa" w:w="1917"/>
            <w:vAlign w:val="top"/>
            <w:shd w:fill="FFFFFF"/>
          </w:tcPr>
          <w:p>
            <w:pPr>
              <w:pStyle w:val="TableText"/>
              <w:keepNext w:val="0"/>
              <w:keepLines/>
            </w:pPr>
            <w:hyperlink w:anchor="source_M10">
              <w:r>
                <w:rPr>
                  <w:color w:val="275E67"/>
                  <w:u w:val="single"/>
                </w:rPr>
                <w:t xml:space="preserve">M10</w:t>
              </w:r>
            </w:hyperlink>
          </w:p>
        </w:tc>
      </w:tr>
      <w:tr>
        <w:trPr>
          <w:cantSplit/>
        </w:trPr>
        <w:tc>
          <w:tcPr>
            <w:tcW w:type="dxa" w:w="2278"/>
            <w:vAlign w:val="top"/>
            <w:shd w:fill="EDF2EE"/>
          </w:tcPr>
          <w:p>
            <w:pPr>
              <w:pStyle w:val="TableText"/>
              <w:keepNext w:val="0"/>
              <w:keepLines/>
            </w:pPr>
            <w:r>
              <w:t>Escape This</w:t>
            </w:r>
          </w:p>
        </w:tc>
        <w:tc>
          <w:tcPr>
            <w:tcW w:type="dxa" w:w="2379"/>
            <w:vAlign w:val="top"/>
            <w:shd w:fill="EDF2EE"/>
          </w:tcPr>
          <w:p>
            <w:pPr>
              <w:pStyle w:val="TableText"/>
              <w:keepNext w:val="0"/>
              <w:keepLines/>
            </w:pPr>
            <w:r>
              <w:t>Sydney CBD</w:t>
            </w:r>
          </w:p>
        </w:tc>
        <w:tc>
          <w:tcPr>
            <w:tcW w:type="dxa" w:w="1278"/>
            <w:vAlign w:val="center"/>
            <w:shd w:fill="EDF2EE"/>
          </w:tcPr>
          <w:p>
            <w:pPr>
              <w:pStyle w:val="TableText"/>
              <w:keepNext w:val="0"/>
              <w:keepLines/>
              <w:jc w:val="center"/>
            </w:pPr>
            <w:r>
              <w:t>10</w:t>
            </w:r>
          </w:p>
        </w:tc>
        <w:tc>
          <w:tcPr>
            <w:tcW w:type="dxa" w:w="2300"/>
            <w:vAlign w:val="center"/>
            <w:shd w:fill="EDF2EE"/>
          </w:tcPr>
          <w:p>
            <w:pPr>
              <w:pStyle w:val="TableText"/>
              <w:keepNext w:val="0"/>
              <w:keepLines/>
              <w:jc w:val="center"/>
            </w:pPr>
            <w:r>
              <w:t>66</w:t>
            </w:r>
          </w:p>
        </w:tc>
        <w:tc>
          <w:tcPr>
            <w:tcW w:type="dxa" w:w="1917"/>
            <w:vAlign w:val="top"/>
            <w:shd w:fill="EDF2EE"/>
          </w:tcPr>
          <w:p>
            <w:pPr>
              <w:pStyle w:val="TableText"/>
              <w:keepNext w:val="0"/>
              <w:keepLines/>
            </w:pPr>
            <w:hyperlink w:anchor="source_M10">
              <w:r>
                <w:rPr>
                  <w:color w:val="275E67"/>
                  <w:u w:val="single"/>
                </w:rPr>
                <w:t xml:space="preserve">M10</w:t>
              </w:r>
            </w:hyperlink>
          </w:p>
        </w:tc>
      </w:tr>
      <w:tr>
        <w:trPr>
          <w:cantSplit/>
        </w:trPr>
        <w:tc>
          <w:tcPr>
            <w:tcW w:type="dxa" w:w="2278"/>
            <w:vAlign w:val="top"/>
            <w:shd w:fill="FFFFFF"/>
          </w:tcPr>
          <w:p>
            <w:pPr>
              <w:pStyle w:val="TableText"/>
              <w:keepNext w:val="0"/>
              <w:keepLines/>
            </w:pPr>
            <w:r>
              <w:t>Escape This</w:t>
            </w:r>
          </w:p>
        </w:tc>
        <w:tc>
          <w:tcPr>
            <w:tcW w:type="dxa" w:w="2379"/>
            <w:vAlign w:val="top"/>
            <w:shd w:fill="FFFFFF"/>
          </w:tcPr>
          <w:p>
            <w:pPr>
              <w:pStyle w:val="TableText"/>
              <w:keepNext w:val="0"/>
              <w:keepLines/>
            </w:pPr>
            <w:r>
              <w:t>Manly</w:t>
            </w:r>
          </w:p>
        </w:tc>
        <w:tc>
          <w:tcPr>
            <w:tcW w:type="dxa" w:w="1278"/>
            <w:vAlign w:val="center"/>
            <w:shd w:fill="FFFFFF"/>
          </w:tcPr>
          <w:p>
            <w:pPr>
              <w:pStyle w:val="TableText"/>
              <w:keepNext w:val="0"/>
              <w:keepLines/>
              <w:jc w:val="center"/>
            </w:pPr>
            <w:r>
              <w:t>3</w:t>
            </w:r>
          </w:p>
        </w:tc>
        <w:tc>
          <w:tcPr>
            <w:tcW w:type="dxa" w:w="2300"/>
            <w:vAlign w:val="center"/>
            <w:shd w:fill="FFFFFF"/>
          </w:tcPr>
          <w:p>
            <w:pPr>
              <w:pStyle w:val="TableText"/>
              <w:keepNext w:val="0"/>
              <w:keepLines/>
              <w:jc w:val="center"/>
            </w:pPr>
            <w:r>
              <w:t>18</w:t>
            </w:r>
          </w:p>
        </w:tc>
        <w:tc>
          <w:tcPr>
            <w:tcW w:type="dxa" w:w="1917"/>
            <w:vAlign w:val="top"/>
            <w:shd w:fill="FFFFFF"/>
          </w:tcPr>
          <w:p>
            <w:pPr>
              <w:pStyle w:val="TableText"/>
              <w:keepNext w:val="0"/>
              <w:keepLines/>
            </w:pPr>
            <w:hyperlink w:anchor="source_M10">
              <w:r>
                <w:rPr>
                  <w:color w:val="275E67"/>
                  <w:u w:val="single"/>
                </w:rPr>
                <w:t xml:space="preserve">M10</w:t>
              </w:r>
            </w:hyperlink>
          </w:p>
        </w:tc>
      </w:tr>
      <w:tr>
        <w:trPr>
          <w:cantSplit/>
        </w:trPr>
        <w:tc>
          <w:tcPr>
            <w:tcW w:type="dxa" w:w="2278"/>
            <w:vAlign w:val="top"/>
            <w:shd w:fill="EDF2EE"/>
          </w:tcPr>
          <w:p>
            <w:pPr>
              <w:pStyle w:val="TableText"/>
              <w:keepNext w:val="0"/>
              <w:keepLines/>
            </w:pPr>
            <w:r>
              <w:t>Escape This</w:t>
            </w:r>
          </w:p>
        </w:tc>
        <w:tc>
          <w:tcPr>
            <w:tcW w:type="dxa" w:w="2379"/>
            <w:vAlign w:val="top"/>
            <w:shd w:fill="EDF2EE"/>
          </w:tcPr>
          <w:p>
            <w:pPr>
              <w:pStyle w:val="TableText"/>
              <w:keepNext w:val="0"/>
              <w:keepLines/>
            </w:pPr>
            <w:r>
              <w:t>Melbourne CBD</w:t>
            </w:r>
          </w:p>
        </w:tc>
        <w:tc>
          <w:tcPr>
            <w:tcW w:type="dxa" w:w="1278"/>
            <w:vAlign w:val="center"/>
            <w:shd w:fill="EDF2EE"/>
          </w:tcPr>
          <w:p>
            <w:pPr>
              <w:pStyle w:val="TableText"/>
              <w:keepNext w:val="0"/>
              <w:keepLines/>
              <w:jc w:val="center"/>
            </w:pPr>
            <w:r>
              <w:t>12</w:t>
            </w:r>
          </w:p>
        </w:tc>
        <w:tc>
          <w:tcPr>
            <w:tcW w:type="dxa" w:w="2300"/>
            <w:vAlign w:val="center"/>
            <w:shd w:fill="EDF2EE"/>
          </w:tcPr>
          <w:p>
            <w:pPr>
              <w:pStyle w:val="TableText"/>
              <w:keepNext w:val="0"/>
              <w:keepLines/>
              <w:jc w:val="center"/>
            </w:pPr>
            <w:r>
              <w:t>82</w:t>
            </w:r>
          </w:p>
        </w:tc>
        <w:tc>
          <w:tcPr>
            <w:tcW w:type="dxa" w:w="1917"/>
            <w:vAlign w:val="top"/>
            <w:shd w:fill="EDF2EE"/>
          </w:tcPr>
          <w:p>
            <w:pPr>
              <w:pStyle w:val="TableText"/>
              <w:keepNext w:val="0"/>
              <w:keepLines/>
            </w:pPr>
            <w:hyperlink w:anchor="source_M10">
              <w:r>
                <w:rPr>
                  <w:color w:val="275E67"/>
                  <w:u w:val="single"/>
                </w:rPr>
                <w:t xml:space="preserve">M10</w:t>
              </w:r>
            </w:hyperlink>
          </w:p>
        </w:tc>
      </w:tr>
      <w:tr>
        <w:trPr>
          <w:cantSplit/>
        </w:trPr>
        <w:tc>
          <w:tcPr>
            <w:tcW w:type="dxa" w:w="2278"/>
            <w:vAlign w:val="top"/>
            <w:shd w:fill="FFFFFF"/>
          </w:tcPr>
          <w:p>
            <w:pPr>
              <w:pStyle w:val="TableText"/>
              <w:keepNext w:val="0"/>
              <w:keepLines/>
            </w:pPr>
            <w:r>
              <w:t>Fox in a Box</w:t>
            </w:r>
          </w:p>
        </w:tc>
        <w:tc>
          <w:tcPr>
            <w:tcW w:type="dxa" w:w="2379"/>
            <w:vAlign w:val="top"/>
            <w:shd w:fill="FFFFFF"/>
          </w:tcPr>
          <w:p>
            <w:pPr>
              <w:pStyle w:val="TableText"/>
              <w:keepNext w:val="0"/>
              <w:keepLines/>
            </w:pPr>
            <w:r>
              <w:t>Brisbane</w:t>
            </w:r>
          </w:p>
        </w:tc>
        <w:tc>
          <w:tcPr>
            <w:tcW w:type="dxa" w:w="1278"/>
            <w:vAlign w:val="center"/>
            <w:shd w:fill="FFFFFF"/>
          </w:tcPr>
          <w:p>
            <w:pPr>
              <w:pStyle w:val="TableText"/>
              <w:keepNext w:val="0"/>
              <w:keepLines/>
              <w:jc w:val="center"/>
            </w:pPr>
            <w:r>
              <w:t>10</w:t>
            </w:r>
          </w:p>
        </w:tc>
        <w:tc>
          <w:tcPr>
            <w:tcW w:type="dxa" w:w="2300"/>
            <w:vAlign w:val="center"/>
            <w:shd w:fill="FFFFFF"/>
          </w:tcPr>
          <w:p>
            <w:pPr>
              <w:pStyle w:val="TableText"/>
              <w:keepNext w:val="0"/>
              <w:keepLines/>
              <w:jc w:val="center"/>
            </w:pPr>
            <w:r>
              <w:t>60</w:t>
            </w:r>
          </w:p>
        </w:tc>
        <w:tc>
          <w:tcPr>
            <w:tcW w:type="dxa" w:w="1917"/>
            <w:vAlign w:val="top"/>
            <w:shd w:fill="FFFFFF"/>
          </w:tcPr>
          <w:p>
            <w:pPr>
              <w:pStyle w:val="TableText"/>
              <w:keepNext w:val="0"/>
              <w:keepLines/>
            </w:pPr>
            <w:hyperlink w:anchor="source_M07">
              <w:r>
                <w:rPr>
                  <w:color w:val="275E67"/>
                  <w:u w:val="single"/>
                </w:rPr>
                <w:t xml:space="preserve">M07</w:t>
              </w:r>
            </w:hyperlink>
          </w:p>
        </w:tc>
      </w:tr>
    </w:tbl>
    <w:p>
      <w:pPr>
        <w:spacing w:after="20" w:before="0" w:line="240" w:lineRule="auto"/>
      </w:pPr>
      <w:r>
        <w:rPr>
          <w:sz w:val="6"/>
        </w:rPr>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2656"/>
        <w:gridCol w:w="4060"/>
        <w:gridCol w:w="1181"/>
        <w:gridCol w:w="2256"/>
      </w:tblGrid>
      <w:tr>
        <w:trPr>
          <w:cantSplit/>
          <w:tblHeader w:val="true"/>
        </w:trPr>
        <w:tc>
          <w:tcPr>
            <w:tcW w:type="dxa" w:w="2656"/>
            <w:vAlign w:val="center"/>
            <w:shd w:fill="203B4C"/>
          </w:tcPr>
          <w:p>
            <w:pPr>
              <w:pStyle w:val="TableHead"/>
              <w:keepNext/>
              <w:keepLines/>
            </w:pPr>
            <w:r>
              <w:rPr>
                <w:color w:val="FFFFFF"/>
              </w:rPr>
              <w:t>Escape This subtotal only</w:t>
            </w:r>
          </w:p>
        </w:tc>
        <w:tc>
          <w:tcPr>
            <w:tcW w:type="dxa" w:w="4060"/>
            <w:vAlign w:val="center"/>
            <w:shd w:fill="203B4C"/>
          </w:tcPr>
          <w:p>
            <w:pPr>
              <w:pStyle w:val="TableHead"/>
              <w:keepNext/>
              <w:keepLines/>
            </w:pPr>
            <w:r>
              <w:rPr>
                <w:color w:val="FFFFFF"/>
              </w:rPr>
              <w:t>Scope</w:t>
            </w:r>
          </w:p>
        </w:tc>
        <w:tc>
          <w:tcPr>
            <w:tcW w:type="dxa" w:w="1181"/>
            <w:vAlign w:val="center"/>
            <w:shd w:fill="203B4C"/>
          </w:tcPr>
          <w:p>
            <w:pPr>
              <w:pStyle w:val="TableHead"/>
              <w:keepNext/>
              <w:keepLines/>
              <w:jc w:val="center"/>
            </w:pPr>
            <w:r>
              <w:rPr>
                <w:color w:val="FFFFFF"/>
              </w:rPr>
              <w:t>Rooms</w:t>
            </w:r>
          </w:p>
        </w:tc>
        <w:tc>
          <w:tcPr>
            <w:tcW w:type="dxa" w:w="2256"/>
            <w:vAlign w:val="center"/>
            <w:shd w:fill="203B4C"/>
          </w:tcPr>
          <w:p>
            <w:pPr>
              <w:pStyle w:val="TableHead"/>
              <w:keepNext/>
              <w:keepLines/>
              <w:jc w:val="center"/>
            </w:pPr>
            <w:r>
              <w:rPr>
                <w:color w:val="FFFFFF"/>
              </w:rPr>
              <w:t>Sum of published room maxima</w:t>
            </w:r>
          </w:p>
        </w:tc>
      </w:tr>
      <w:tr>
        <w:trPr>
          <w:cantSplit/>
        </w:trPr>
        <w:tc>
          <w:tcPr>
            <w:tcW w:type="dxa" w:w="2656"/>
            <w:vAlign w:val="top"/>
            <w:shd w:fill="EDF2EE"/>
          </w:tcPr>
          <w:p>
            <w:pPr>
              <w:pStyle w:val="TableText"/>
              <w:keepNext w:val="0"/>
              <w:keepLines/>
            </w:pPr>
            <w:r>
              <w:t>Five venues listed above</w:t>
            </w:r>
          </w:p>
        </w:tc>
        <w:tc>
          <w:tcPr>
            <w:tcW w:type="dxa" w:w="4060"/>
            <w:vAlign w:val="top"/>
            <w:shd w:fill="EDF2EE"/>
          </w:tcPr>
          <w:p>
            <w:pPr>
              <w:pStyle w:val="TableText"/>
              <w:keepNext w:val="0"/>
              <w:keepLines/>
            </w:pPr>
            <w:r>
              <w:t>Perth CBD, Northbridge, Sydney CBD, Manly and Melbourne CBD</w:t>
            </w:r>
          </w:p>
        </w:tc>
        <w:tc>
          <w:tcPr>
            <w:tcW w:type="dxa" w:w="1181"/>
            <w:vAlign w:val="center"/>
            <w:shd w:fill="EDF2EE"/>
          </w:tcPr>
          <w:p>
            <w:pPr>
              <w:pStyle w:val="TableText"/>
              <w:keepNext w:val="0"/>
              <w:keepLines/>
              <w:jc w:val="center"/>
            </w:pPr>
            <w:r>
              <w:t>48</w:t>
            </w:r>
          </w:p>
        </w:tc>
        <w:tc>
          <w:tcPr>
            <w:tcW w:type="dxa" w:w="2256"/>
            <w:vAlign w:val="center"/>
            <w:shd w:fill="EDF2EE"/>
          </w:tcPr>
          <w:p>
            <w:pPr>
              <w:pStyle w:val="TableText"/>
              <w:keepNext w:val="0"/>
              <w:keepLines/>
              <w:jc w:val="center"/>
            </w:pPr>
            <w:r>
              <w:t>336</w:t>
            </w:r>
          </w:p>
        </w:tc>
      </w:tr>
    </w:tbl>
    <w:p>
      <w:pPr>
        <w:spacing w:after="20" w:before="0" w:line="240" w:lineRule="auto"/>
      </w:pPr>
      <w:r>
        <w:rPr>
          <w:sz w:val="6"/>
        </w:rPr>
      </w:r>
    </w:p>
    <w:p>
      <w:pPr/>
      <w:r>
        <w:t>The subtotal is the sum of room maxima across the five Escape This venues. Corporate-event limits may differ. National totals for the other operators have not been established.</w:t>
      </w:r>
    </w:p>
    <w:p>
      <w:pPr>
        <w:pStyle w:val="SourceNote"/>
      </w:pPr>
      <w:r>
        <w:t xml:space="preserve">Sources: </w:t>
      </w:r>
      <w:hyperlink w:anchor="source_M07">
        <w:r>
          <w:rPr>
            <w:color w:val="275E67"/>
            <w:u w:val="single"/>
          </w:rPr>
          <w:t xml:space="preserve">M07</w:t>
        </w:r>
      </w:hyperlink>
      <w:r>
        <w:t xml:space="preserve">, </w:t>
      </w:r>
      <w:hyperlink w:anchor="source_M10">
        <w:r>
          <w:rPr>
            <w:color w:val="275E67"/>
            <w:u w:val="single"/>
          </w:rPr>
          <w:t xml:space="preserve">M10</w:t>
        </w:r>
      </w:hyperlink>
    </w:p>
    <w:p>
      <w:bookmarkStart w:id="8" w:name="s_market_Published_customer_pri_e80beb"/>
      <w:pPr>
        <w:pStyle w:val="Heading2"/>
      </w:pPr>
      <w:r>
        <w:t>Published customer prices</w:t>
      </w:r>
      <w:bookmarkEnd w:id="8"/>
    </w:p>
    <w:p>
      <w:pPr>
        <w:pStyle w:val="SourceNote"/>
        <w:keepNext/>
      </w:pPr>
      <w:r>
        <w:t>Checked 30 Oct 2026</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2623"/>
        <w:gridCol w:w="3234"/>
        <w:gridCol w:w="4295"/>
      </w:tblGrid>
      <w:tr>
        <w:trPr>
          <w:cantSplit/>
          <w:tblHeader w:val="true"/>
        </w:trPr>
        <w:tc>
          <w:tcPr>
            <w:tcW w:type="dxa" w:w="2623"/>
            <w:vAlign w:val="center"/>
            <w:shd w:fill="203B4C"/>
          </w:tcPr>
          <w:p>
            <w:pPr>
              <w:pStyle w:val="TableHead"/>
              <w:keepNext/>
              <w:keepLines/>
            </w:pPr>
            <w:r>
              <w:rPr>
                <w:color w:val="FFFFFF"/>
              </w:rPr>
              <w:t>Operator and offer</w:t>
            </w:r>
          </w:p>
        </w:tc>
        <w:tc>
          <w:tcPr>
            <w:tcW w:type="dxa" w:w="3234"/>
            <w:vAlign w:val="center"/>
            <w:shd w:fill="203B4C"/>
          </w:tcPr>
          <w:p>
            <w:pPr>
              <w:pStyle w:val="TableHead"/>
              <w:keepNext/>
              <w:keepLines/>
            </w:pPr>
            <w:r>
              <w:rPr>
                <w:color w:val="FFFFFF"/>
              </w:rPr>
              <w:t>Advertised price</w:t>
            </w:r>
          </w:p>
        </w:tc>
        <w:tc>
          <w:tcPr>
            <w:tcW w:type="dxa" w:w="4295"/>
            <w:vAlign w:val="center"/>
            <w:shd w:fill="203B4C"/>
          </w:tcPr>
          <w:p>
            <w:pPr>
              <w:pStyle w:val="TableHead"/>
              <w:keepNext/>
              <w:keepLines/>
            </w:pPr>
            <w:r>
              <w:rPr>
                <w:color w:val="FFFFFF"/>
              </w:rPr>
              <w:t>Conditions relevant to comparison</w:t>
            </w:r>
          </w:p>
        </w:tc>
      </w:tr>
      <w:tr>
        <w:trPr>
          <w:cantSplit/>
        </w:trPr>
        <w:tc>
          <w:tcPr>
            <w:tcW w:type="dxa" w:w="2623"/>
            <w:vAlign w:val="top"/>
            <w:shd w:fill="EDF2EE"/>
          </w:tcPr>
          <w:p>
            <w:pPr>
              <w:pStyle w:val="TableText"/>
              <w:keepNext w:val="0"/>
              <w:keepLines/>
            </w:pPr>
            <w:r>
              <w:t>Puzzled public</w:t>
            </w:r>
          </w:p>
        </w:tc>
        <w:tc>
          <w:tcPr>
            <w:tcW w:type="dxa" w:w="3234"/>
            <w:vAlign w:val="top"/>
            <w:shd w:fill="EDF2EE"/>
          </w:tcPr>
          <w:p>
            <w:pPr>
              <w:pStyle w:val="TableText"/>
              <w:keepNext w:val="0"/>
              <w:keepLines/>
            </w:pPr>
            <w:r>
              <w:t>$48 / $45 / $42 per person</w:t>
            </w:r>
          </w:p>
        </w:tc>
        <w:tc>
          <w:tcPr>
            <w:tcW w:type="dxa" w:w="4295"/>
            <w:vAlign w:val="top"/>
            <w:shd w:fill="EDF2EE"/>
          </w:tcPr>
          <w:p>
            <w:pPr>
              <w:pStyle w:val="TableText"/>
              <w:keepNext w:val="0"/>
              <w:keepLines/>
            </w:pPr>
            <w:r>
              <w:t>Two / three / four to six players; maximum six per room.</w:t>
            </w:r>
          </w:p>
        </w:tc>
      </w:tr>
      <w:tr>
        <w:trPr>
          <w:cantSplit/>
        </w:trPr>
        <w:tc>
          <w:tcPr>
            <w:tcW w:type="dxa" w:w="2623"/>
            <w:vAlign w:val="top"/>
            <w:shd w:fill="FFFFFF"/>
          </w:tcPr>
          <w:p>
            <w:pPr>
              <w:pStyle w:val="TableText"/>
              <w:keepNext w:val="0"/>
              <w:keepLines/>
            </w:pPr>
            <w:r>
              <w:t>Puzzled schools and community</w:t>
            </w:r>
          </w:p>
        </w:tc>
        <w:tc>
          <w:tcPr>
            <w:tcW w:type="dxa" w:w="3234"/>
            <w:vAlign w:val="top"/>
            <w:shd w:fill="FFFFFF"/>
          </w:tcPr>
          <w:p>
            <w:pPr>
              <w:pStyle w:val="TableText"/>
              <w:keepNext w:val="0"/>
              <w:keepLines/>
            </w:pPr>
            <w:r>
              <w:t>$35 per person</w:t>
            </w:r>
          </w:p>
        </w:tc>
        <w:tc>
          <w:tcPr>
            <w:tcW w:type="dxa" w:w="4295"/>
            <w:vAlign w:val="top"/>
            <w:shd w:fill="FFFFFF"/>
          </w:tcPr>
          <w:p>
            <w:pPr>
              <w:pStyle w:val="TableText"/>
              <w:keepNext w:val="0"/>
              <w:keepLines/>
            </w:pPr>
            <w:r>
              <w:t>Weekdays, minimum 20 participants.</w:t>
            </w:r>
          </w:p>
        </w:tc>
      </w:tr>
      <w:tr>
        <w:trPr>
          <w:cantSplit/>
        </w:trPr>
        <w:tc>
          <w:tcPr>
            <w:tcW w:type="dxa" w:w="2623"/>
            <w:vAlign w:val="top"/>
            <w:shd w:fill="EDF2EE"/>
          </w:tcPr>
          <w:p>
            <w:pPr>
              <w:pStyle w:val="TableText"/>
              <w:keepNext w:val="0"/>
              <w:keepLines/>
            </w:pPr>
            <w:r>
              <w:t>Project Immersive Fission</w:t>
            </w:r>
          </w:p>
        </w:tc>
        <w:tc>
          <w:tcPr>
            <w:tcW w:type="dxa" w:w="3234"/>
            <w:vAlign w:val="top"/>
            <w:shd w:fill="EDF2EE"/>
          </w:tcPr>
          <w:p>
            <w:pPr>
              <w:pStyle w:val="TableText"/>
              <w:keepNext w:val="0"/>
              <w:keepLines/>
            </w:pPr>
            <w:r>
              <w:t>$44 per person</w:t>
            </w:r>
          </w:p>
        </w:tc>
        <w:tc>
          <w:tcPr>
            <w:tcW w:type="dxa" w:w="4295"/>
            <w:vAlign w:val="top"/>
            <w:shd w:fill="EDF2EE"/>
          </w:tcPr>
          <w:p>
            <w:pPr>
              <w:pStyle w:val="TableText"/>
              <w:keepNext w:val="0"/>
              <w:keepLines/>
            </w:pPr>
            <w:r>
              <w:t>7 to 20 people across rooms, minimum three per room; one game each.</w:t>
            </w:r>
          </w:p>
        </w:tc>
      </w:tr>
      <w:tr>
        <w:trPr>
          <w:cantSplit/>
        </w:trPr>
        <w:tc>
          <w:tcPr>
            <w:tcW w:type="dxa" w:w="2623"/>
            <w:vAlign w:val="top"/>
            <w:shd w:fill="FFFFFF"/>
          </w:tcPr>
          <w:p>
            <w:pPr>
              <w:pStyle w:val="TableText"/>
              <w:keepNext w:val="0"/>
              <w:keepLines/>
            </w:pPr>
            <w:r>
              <w:t>Fox in a Box corporate</w:t>
            </w:r>
          </w:p>
        </w:tc>
        <w:tc>
          <w:tcPr>
            <w:tcW w:type="dxa" w:w="3234"/>
            <w:vAlign w:val="top"/>
            <w:shd w:fill="FFFFFF"/>
          </w:tcPr>
          <w:p>
            <w:pPr>
              <w:pStyle w:val="TableText"/>
              <w:keepNext w:val="0"/>
              <w:keepLines/>
            </w:pPr>
            <w:r>
              <w:t>$45 for one game; $80 for two</w:t>
            </w:r>
          </w:p>
        </w:tc>
        <w:tc>
          <w:tcPr>
            <w:tcW w:type="dxa" w:w="4295"/>
            <w:vAlign w:val="top"/>
            <w:shd w:fill="FFFFFF"/>
          </w:tcPr>
          <w:p>
            <w:pPr>
              <w:pStyle w:val="TableText"/>
              <w:keepNext w:val="0"/>
              <w:keepLines/>
            </w:pPr>
            <w:r>
              <w:t>Minimum 13 participants.</w:t>
            </w:r>
          </w:p>
        </w:tc>
      </w:tr>
      <w:tr>
        <w:trPr>
          <w:cantSplit/>
        </w:trPr>
        <w:tc>
          <w:tcPr>
            <w:tcW w:type="dxa" w:w="2623"/>
            <w:vAlign w:val="top"/>
            <w:shd w:fill="EDF2EE"/>
          </w:tcPr>
          <w:p>
            <w:pPr>
              <w:pStyle w:val="TableText"/>
              <w:keepNext w:val="0"/>
              <w:keepLines/>
            </w:pPr>
            <w:r>
              <w:t>Red Lock public</w:t>
            </w:r>
          </w:p>
        </w:tc>
        <w:tc>
          <w:tcPr>
            <w:tcW w:type="dxa" w:w="3234"/>
            <w:vAlign w:val="top"/>
            <w:shd w:fill="EDF2EE"/>
          </w:tcPr>
          <w:p>
            <w:pPr>
              <w:pStyle w:val="TableText"/>
              <w:keepNext w:val="0"/>
              <w:keepLines/>
            </w:pPr>
            <w:r>
              <w:t>$55 / $47 / $45 / $42 / $40 per person</w:t>
            </w:r>
          </w:p>
        </w:tc>
        <w:tc>
          <w:tcPr>
            <w:tcW w:type="dxa" w:w="4295"/>
            <w:vAlign w:val="top"/>
            <w:shd w:fill="EDF2EE"/>
          </w:tcPr>
          <w:p>
            <w:pPr>
              <w:pStyle w:val="TableText"/>
              <w:keepNext w:val="0"/>
              <w:keepLines/>
            </w:pPr>
            <w:r>
              <w:t>Two / three / four / five / six or more players.</w:t>
            </w:r>
          </w:p>
        </w:tc>
      </w:tr>
      <w:tr>
        <w:trPr>
          <w:cantSplit/>
        </w:trPr>
        <w:tc>
          <w:tcPr>
            <w:tcW w:type="dxa" w:w="2623"/>
            <w:vAlign w:val="top"/>
            <w:shd w:fill="FFFFFF"/>
          </w:tcPr>
          <w:p>
            <w:pPr>
              <w:pStyle w:val="TableText"/>
              <w:keepNext w:val="0"/>
              <w:keepLines/>
            </w:pPr>
            <w:r>
              <w:t>Red Lock weekday marathon</w:t>
            </w:r>
          </w:p>
        </w:tc>
        <w:tc>
          <w:tcPr>
            <w:tcW w:type="dxa" w:w="3234"/>
            <w:vAlign w:val="top"/>
            <w:shd w:fill="FFFFFF"/>
          </w:tcPr>
          <w:p>
            <w:pPr>
              <w:pStyle w:val="TableText"/>
              <w:keepNext w:val="0"/>
              <w:keepLines/>
            </w:pPr>
            <w:r>
              <w:t>$99 for three rooms; $33 for each extra</w:t>
            </w:r>
          </w:p>
        </w:tc>
        <w:tc>
          <w:tcPr>
            <w:tcW w:type="dxa" w:w="4295"/>
            <w:vAlign w:val="top"/>
            <w:shd w:fill="FFFFFF"/>
          </w:tcPr>
          <w:p>
            <w:pPr>
              <w:pStyle w:val="TableText"/>
              <w:keepNext w:val="0"/>
              <w:keepLines/>
            </w:pPr>
            <w:r>
              <w:t>Minimum two people, same group and day; excludes Queensland school holidays.</w:t>
            </w:r>
          </w:p>
        </w:tc>
      </w:tr>
    </w:tbl>
    <w:p>
      <w:pPr>
        <w:spacing w:after="20" w:before="0" w:line="240" w:lineRule="auto"/>
      </w:pPr>
      <w:r>
        <w:rPr>
          <w:sz w:val="6"/>
        </w:rPr>
      </w:r>
    </w:p>
    <w:p>
      <w:pPr/>
      <w:r>
        <w:t>The summary uses Puzzled's four-to-six-player price without adding an assumed reflection premium. School and corporate tariffs have group conditions; multi-game offers are prices for several admissions, not single-room ticket yields.</w:t>
      </w:r>
    </w:p>
    <w:p>
      <w:pPr>
        <w:pStyle w:val="SourceNote"/>
      </w:pPr>
      <w:r>
        <w:t xml:space="preserve">Sources: </w:t>
      </w:r>
      <w:hyperlink w:anchor="source_M07">
        <w:r>
          <w:rPr>
            <w:color w:val="275E67"/>
            <w:u w:val="single"/>
          </w:rPr>
          <w:t xml:space="preserve">M07</w:t>
        </w:r>
      </w:hyperlink>
      <w:r>
        <w:t xml:space="preserve">, </w:t>
      </w:r>
      <w:hyperlink w:anchor="source_M09">
        <w:r>
          <w:rPr>
            <w:color w:val="275E67"/>
            <w:u w:val="single"/>
          </w:rPr>
          <w:t xml:space="preserve">M09</w:t>
        </w:r>
      </w:hyperlink>
      <w:r>
        <w:t xml:space="preserve">, </w:t>
      </w:r>
      <w:hyperlink w:anchor="source_M18">
        <w:r>
          <w:rPr>
            <w:color w:val="275E67"/>
            <w:u w:val="single"/>
          </w:rPr>
          <w:t xml:space="preserve">M18</w:t>
        </w:r>
      </w:hyperlink>
      <w:r>
        <w:t xml:space="preserve">, </w:t>
      </w:r>
      <w:hyperlink w:anchor="source_M19">
        <w:r>
          <w:rPr>
            <w:color w:val="275E67"/>
            <w:u w:val="single"/>
          </w:rPr>
          <w:t xml:space="preserve">M19</w:t>
        </w:r>
      </w:hyperlink>
      <w:r>
        <w:t xml:space="preserve">, </w:t>
      </w:r>
      <w:hyperlink w:anchor="source_M20">
        <w:r>
          <w:rPr>
            <w:color w:val="275E67"/>
            <w:u w:val="single"/>
          </w:rPr>
          <w:t xml:space="preserve">M20</w:t>
        </w:r>
      </w:hyperlink>
    </w:p>
    <w:p>
      <w:bookmarkStart w:id="9" w:name="s_market_Physical_room_and_venu_238f9a"/>
      <w:pPr>
        <w:pStyle w:val="Heading2"/>
      </w:pPr>
      <w:r>
        <w:t>Physical room and venue area</w:t>
      </w:r>
      <w:bookmarkEnd w:id="9"/>
    </w:p>
    <w:p>
      <w:pPr>
        <w:pStyle w:val="SourceNote"/>
        <w:keepNext/>
      </w:pPr>
      <w:r>
        <w:t>Supplier checked 30 Oct 2026 · Fitout reference checked 29 Oct 2026</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4037"/>
        <w:gridCol w:w="2331"/>
        <w:gridCol w:w="3784"/>
      </w:tblGrid>
      <w:tr>
        <w:trPr>
          <w:cantSplit/>
          <w:tblHeader w:val="true"/>
        </w:trPr>
        <w:tc>
          <w:tcPr>
            <w:tcW w:type="dxa" w:w="4037"/>
            <w:vAlign w:val="center"/>
            <w:shd w:fill="203B4C"/>
          </w:tcPr>
          <w:p>
            <w:pPr>
              <w:pStyle w:val="TableHead"/>
              <w:keepNext/>
              <w:keepLines/>
            </w:pPr>
            <w:r>
              <w:rPr>
                <w:color w:val="FFFFFF"/>
              </w:rPr>
              <w:t>Example</w:t>
            </w:r>
          </w:p>
        </w:tc>
        <w:tc>
          <w:tcPr>
            <w:tcW w:type="dxa" w:w="2331"/>
            <w:vAlign w:val="center"/>
            <w:shd w:fill="203B4C"/>
          </w:tcPr>
          <w:p>
            <w:pPr>
              <w:pStyle w:val="TableHead"/>
              <w:keepNext/>
              <w:keepLines/>
            </w:pPr>
            <w:r>
              <w:rPr>
                <w:color w:val="FFFFFF"/>
              </w:rPr>
              <w:t>Published area</w:t>
            </w:r>
          </w:p>
        </w:tc>
        <w:tc>
          <w:tcPr>
            <w:tcW w:type="dxa" w:w="3784"/>
            <w:vAlign w:val="center"/>
            <w:shd w:fill="203B4C"/>
          </w:tcPr>
          <w:p>
            <w:pPr>
              <w:pStyle w:val="TableHead"/>
              <w:keepNext/>
              <w:keepLines/>
            </w:pPr>
            <w:r>
              <w:rPr>
                <w:color w:val="FFFFFF"/>
              </w:rPr>
              <w:t>Measurement scope</w:t>
            </w:r>
          </w:p>
        </w:tc>
      </w:tr>
      <w:tr>
        <w:trPr>
          <w:cantSplit/>
        </w:trPr>
        <w:tc>
          <w:tcPr>
            <w:tcW w:type="dxa" w:w="4037"/>
            <w:vAlign w:val="top"/>
            <w:shd w:fill="EDF2EE"/>
          </w:tcPr>
          <w:p>
            <w:pPr>
              <w:pStyle w:val="TableText"/>
              <w:keepNext w:val="0"/>
              <w:keepLines/>
            </w:pPr>
            <w:r>
              <w:t>Indestroom Jungle and Magic School</w:t>
            </w:r>
          </w:p>
        </w:tc>
        <w:tc>
          <w:tcPr>
            <w:tcW w:type="dxa" w:w="2331"/>
            <w:vAlign w:val="top"/>
            <w:shd w:fill="EDF2EE"/>
          </w:tcPr>
          <w:p>
            <w:pPr>
              <w:pStyle w:val="TableText"/>
              <w:keepNext w:val="0"/>
              <w:keepLines/>
            </w:pPr>
            <w:r>
              <w:t>30 to 50 m²</w:t>
            </w:r>
          </w:p>
        </w:tc>
        <w:tc>
          <w:tcPr>
            <w:tcW w:type="dxa" w:w="3784"/>
            <w:vAlign w:val="top"/>
            <w:shd w:fill="EDF2EE"/>
          </w:tcPr>
          <w:p>
            <w:pPr>
              <w:pStyle w:val="TableText"/>
              <w:keepNext w:val="0"/>
              <w:keepLines/>
            </w:pPr>
            <w:r>
              <w:t>Supplier game configurations.</w:t>
            </w:r>
          </w:p>
        </w:tc>
      </w:tr>
      <w:tr>
        <w:trPr>
          <w:cantSplit/>
        </w:trPr>
        <w:tc>
          <w:tcPr>
            <w:tcW w:type="dxa" w:w="4037"/>
            <w:vAlign w:val="top"/>
            <w:shd w:fill="FFFFFF"/>
          </w:tcPr>
          <w:p>
            <w:pPr>
              <w:pStyle w:val="TableText"/>
              <w:keepNext w:val="0"/>
              <w:keepLines/>
            </w:pPr>
            <w:r>
              <w:t>Indestroom Pharaoh</w:t>
            </w:r>
          </w:p>
        </w:tc>
        <w:tc>
          <w:tcPr>
            <w:tcW w:type="dxa" w:w="2331"/>
            <w:vAlign w:val="top"/>
            <w:shd w:fill="FFFFFF"/>
          </w:tcPr>
          <w:p>
            <w:pPr>
              <w:pStyle w:val="TableText"/>
              <w:keepNext w:val="0"/>
              <w:keepLines/>
            </w:pPr>
            <w:r>
              <w:t>30 to 70 m²</w:t>
            </w:r>
          </w:p>
        </w:tc>
        <w:tc>
          <w:tcPr>
            <w:tcW w:type="dxa" w:w="3784"/>
            <w:vAlign w:val="top"/>
            <w:shd w:fill="FFFFFF"/>
          </w:tcPr>
          <w:p>
            <w:pPr>
              <w:pStyle w:val="TableText"/>
              <w:keepNext w:val="0"/>
              <w:keepLines/>
            </w:pPr>
            <w:r>
              <w:t>Supplier game configuration.</w:t>
            </w:r>
          </w:p>
        </w:tc>
      </w:tr>
      <w:tr>
        <w:trPr>
          <w:cantSplit/>
        </w:trPr>
        <w:tc>
          <w:tcPr>
            <w:tcW w:type="dxa" w:w="4037"/>
            <w:vAlign w:val="top"/>
            <w:shd w:fill="EDF2EE"/>
          </w:tcPr>
          <w:p>
            <w:pPr>
              <w:pStyle w:val="TableText"/>
              <w:keepNext w:val="0"/>
              <w:keepLines/>
            </w:pPr>
            <w:r>
              <w:t>Indestroom Vault32</w:t>
            </w:r>
          </w:p>
        </w:tc>
        <w:tc>
          <w:tcPr>
            <w:tcW w:type="dxa" w:w="2331"/>
            <w:vAlign w:val="top"/>
            <w:shd w:fill="EDF2EE"/>
          </w:tcPr>
          <w:p>
            <w:pPr>
              <w:pStyle w:val="TableText"/>
              <w:keepNext w:val="0"/>
              <w:keepLines/>
            </w:pPr>
            <w:r>
              <w:t>40 to 80 m²</w:t>
            </w:r>
          </w:p>
        </w:tc>
        <w:tc>
          <w:tcPr>
            <w:tcW w:type="dxa" w:w="3784"/>
            <w:vAlign w:val="top"/>
            <w:shd w:fill="EDF2EE"/>
          </w:tcPr>
          <w:p>
            <w:pPr>
              <w:pStyle w:val="TableText"/>
              <w:keepNext w:val="0"/>
              <w:keepLines/>
            </w:pPr>
            <w:r>
              <w:t>Supplier game configuration.</w:t>
            </w:r>
          </w:p>
        </w:tc>
      </w:tr>
      <w:tr>
        <w:trPr>
          <w:cantSplit/>
        </w:trPr>
        <w:tc>
          <w:tcPr>
            <w:tcW w:type="dxa" w:w="4037"/>
            <w:vAlign w:val="top"/>
            <w:shd w:fill="FFFFFF"/>
          </w:tcPr>
          <w:p>
            <w:pPr>
              <w:pStyle w:val="TableText"/>
              <w:keepNext w:val="0"/>
              <w:keepLines/>
            </w:pPr>
            <w:r>
              <w:t>The Great Escape Melbourne fitout</w:t>
            </w:r>
          </w:p>
        </w:tc>
        <w:tc>
          <w:tcPr>
            <w:tcW w:type="dxa" w:w="2331"/>
            <w:vAlign w:val="top"/>
            <w:shd w:fill="FFFFFF"/>
          </w:tcPr>
          <w:p>
            <w:pPr>
              <w:pStyle w:val="TableText"/>
              <w:keepNext w:val="0"/>
              <w:keepLines/>
            </w:pPr>
            <w:r>
              <w:t>1,240 m²</w:t>
            </w:r>
          </w:p>
        </w:tc>
        <w:tc>
          <w:tcPr>
            <w:tcW w:type="dxa" w:w="3784"/>
            <w:vAlign w:val="top"/>
            <w:shd w:fill="FFFFFF"/>
          </w:tcPr>
          <w:p>
            <w:pPr>
              <w:pStyle w:val="TableText"/>
              <w:keepNext w:val="0"/>
              <w:keepLines/>
            </w:pPr>
            <w:r>
              <w:t>Whole mixed venue including games, mini-golf, arcade, bar, kitchen and lounges.</w:t>
            </w:r>
          </w:p>
        </w:tc>
      </w:tr>
    </w:tbl>
    <w:p>
      <w:pPr>
        <w:spacing w:after="20" w:before="0" w:line="240" w:lineRule="auto"/>
      </w:pPr>
      <w:r>
        <w:rPr>
          <w:sz w:val="6"/>
        </w:rPr>
      </w:r>
    </w:p>
    <w:p>
      <w:pPr/>
      <w:r>
        <w:t>Supplier game areas exclude the separate support-space programme. The whole mixed venue cannot be divided by room count to infer a typical escape-room size.</w:t>
      </w:r>
    </w:p>
    <w:p>
      <w:pPr>
        <w:pStyle w:val="SourceNote"/>
      </w:pPr>
      <w:r>
        <w:t xml:space="preserve">Sources: </w:t>
      </w:r>
      <w:hyperlink w:anchor="source_M11">
        <w:r>
          <w:rPr>
            <w:color w:val="275E67"/>
            <w:u w:val="single"/>
          </w:rPr>
          <w:t xml:space="preserve">M11</w:t>
        </w:r>
      </w:hyperlink>
      <w:r>
        <w:t xml:space="preserve">, </w:t>
      </w:r>
      <w:hyperlink w:anchor="source_M14">
        <w:r>
          <w:rPr>
            <w:color w:val="275E67"/>
            <w:u w:val="single"/>
          </w:rPr>
          <w:t xml:space="preserve">M14</w:t>
        </w:r>
      </w:hyperlink>
    </w:p>
    <w:p>
      <w:bookmarkStart w:id="10" w:name="s_market_Demand_and_distributio_809b4d"/>
      <w:pPr>
        <w:pStyle w:val="Heading2"/>
      </w:pPr>
      <w:r>
        <w:t>Demand and distribution</w:t>
      </w:r>
      <w:bookmarkEnd w:id="10"/>
    </w:p>
    <w:p>
      <w:pPr>
        <w:pStyle w:val="SourceNote"/>
        <w:keepNext/>
      </w:pPr>
      <w:r>
        <w:t>Checked 30 Oct 2026</w:t>
      </w:r>
    </w:p>
    <w:p>
      <w:pPr/>
      <w:r>
        <w:t>TRA reports 112.5 million domestic overnight trips and $108.1 billion spending, plus 288.4 million day trips and $52.0 billion spending, in the year ending June 2026. Business-event visitors spent $17.2 billion in Australia during 2025. ABS records 4,160,918 school students in 9,673 schools in 2025. These describe the wider buyer context, not escape-room demand.</w:t>
      </w:r>
    </w:p>
    <w:p>
      <w:pPr/>
      <w:r>
        <w:t>A local comparison needs competitor booking availability, reachable school and employer groups, visitor seasonality, transport, acquisition cost, repeat use and contribution by staffed opening block. Separate direct bookings, partner referrals and tourism distribution so commissions remain visible.</w:t>
      </w:r>
    </w:p>
    <w:p>
      <w:pPr>
        <w:pStyle w:val="SourceNote"/>
      </w:pPr>
      <w:r>
        <w:t xml:space="preserve">Sources: </w:t>
      </w:r>
      <w:hyperlink w:anchor="source_M01">
        <w:r>
          <w:rPr>
            <w:color w:val="275E67"/>
            <w:u w:val="single"/>
          </w:rPr>
          <w:t xml:space="preserve">M01</w:t>
        </w:r>
      </w:hyperlink>
      <w:r>
        <w:t xml:space="preserve">, </w:t>
      </w:r>
      <w:hyperlink w:anchor="source_M03">
        <w:r>
          <w:rPr>
            <w:color w:val="275E67"/>
            <w:u w:val="single"/>
          </w:rPr>
          <w:t xml:space="preserve">M03</w:t>
        </w:r>
      </w:hyperlink>
      <w:r>
        <w:t xml:space="preserve">, </w:t>
      </w:r>
      <w:hyperlink w:anchor="source_M04">
        <w:r>
          <w:rPr>
            <w:color w:val="275E67"/>
            <w:u w:val="single"/>
          </w:rPr>
          <w:t xml:space="preserve">M04</w:t>
        </w:r>
      </w:hyperlink>
      <w:r>
        <w:t xml:space="preserve">, </w:t>
      </w:r>
      <w:hyperlink w:anchor="source_M05">
        <w:r>
          <w:rPr>
            <w:color w:val="275E67"/>
            <w:u w:val="single"/>
          </w:rPr>
          <w:t xml:space="preserve">M05</w:t>
        </w:r>
      </w:hyperlink>
      <w:r>
        <w:t xml:space="preserve">, </w:t>
      </w:r>
      <w:hyperlink w:anchor="source_M06">
        <w:r>
          <w:rPr>
            <w:color w:val="275E67"/>
            <w:u w:val="single"/>
          </w:rPr>
          <w:t xml:space="preserve">M06</w:t>
        </w:r>
      </w:hyperlink>
      <w:r>
        <w:t xml:space="preserve">, </w:t>
      </w:r>
      <w:hyperlink w:anchor="source_M22">
        <w:r>
          <w:rPr>
            <w:color w:val="275E67"/>
            <w:u w:val="single"/>
          </w:rPr>
          <w:t xml:space="preserve">M22</w:t>
        </w:r>
      </w:hyperlink>
    </w:p>
    <w:p>
      <w:bookmarkStart w:id="11" w:name="chapter_network_tourism"/>
      <w:pPr>
        <w:pStyle w:val="Heading1"/>
        <w:pageBreakBefore/>
      </w:pPr>
      <w:r>
        <w:t>Network and tourism</w:t>
      </w:r>
      <w:bookmarkEnd w:id="11"/>
    </w:p>
    <w:p>
      <w:pPr>
        <w:pStyle w:val="Lead"/>
      </w:pPr>
      <w:r>
        <w:t>Linked destinations, repeat visits and settlement between participating businesses.</w:t>
      </w:r>
    </w:p>
    <w:p>
      <w:bookmarkStart w:id="12" w:name="s_network_tourism_Routes_and_re_4a98b1"/>
      <w:pPr>
        <w:pStyle w:val="Heading2"/>
      </w:pPr>
      <w:r>
        <w:t>Routes and repeat visits</w:t>
      </w:r>
      <w:bookmarkEnd w:id="12"/>
    </w:p>
    <w:p>
      <w:pPr/>
      <w:r>
        <w:t>A local room supplies a complete adventure; linked destinations offer different stories and opportunities to use the same skill. Possible products include a day route, regional weekend, longer passport journey, employer retreat and school series.</w:t>
      </w:r>
    </w:p>
    <w:p>
      <w:pPr/>
      <w:r>
        <w:t>Brisbane, Redlands and Minjerribah provide one route concept. Melbourne, Beechworth and Albury provide another, with an existing example of games moving between operators. Routes require actual venue availability, travel time and independently priced partner services.</w:t>
      </w:r>
    </w:p>
    <w:p>
      <w:pPr>
        <w:pStyle w:val="SourceNote"/>
      </w:pPr>
      <w:r>
        <w:t xml:space="preserve">Sources: </w:t>
      </w:r>
      <w:hyperlink w:anchor="source_D07">
        <w:r>
          <w:rPr>
            <w:color w:val="275E67"/>
            <w:u w:val="single"/>
          </w:rPr>
          <w:t xml:space="preserve">D07</w:t>
        </w:r>
      </w:hyperlink>
      <w:r>
        <w:t xml:space="preserve">, </w:t>
      </w:r>
      <w:hyperlink w:anchor="source_M16">
        <w:r>
          <w:rPr>
            <w:color w:val="275E67"/>
            <w:u w:val="single"/>
          </w:rPr>
          <w:t xml:space="preserve">M16</w:t>
        </w:r>
      </w:hyperlink>
      <w:r>
        <w:t xml:space="preserve">, </w:t>
      </w:r>
      <w:hyperlink w:anchor="source_P05">
        <w:r>
          <w:rPr>
            <w:color w:val="275E67"/>
            <w:u w:val="single"/>
          </w:rPr>
          <w:t xml:space="preserve">P05</w:t>
        </w:r>
      </w:hyperlink>
    </w:p>
    <w:p>
      <w:bookmarkStart w:id="13" w:name="s_network_tourism_Passes_referr_e54c4f"/>
      <w:pPr>
        <w:pStyle w:val="Heading2"/>
      </w:pPr>
      <w:r>
        <w:t>Passes referrals and partner sales</w:t>
      </w:r>
      <w:bookmarkEnd w:id="13"/>
    </w:p>
    <w:p>
      <w:pPr/>
      <w:r>
        <w:t>Compare separately booked referrals, a shared pass and a package sold by one contracting operator. The finance chapter contains the pass calculator.</w:t>
      </w:r>
    </w:p>
    <w:p>
      <w:pPr/>
      <w:r>
        <w:rPr>
          <w:b/>
        </w:rPr>
        <w:t>Network service revenue = pass receipts less venue allocations</w:t>
      </w:r>
      <w:r>
        <w:t>, subject to the actual principal or agency arrangement. Venue ticket allocations and accommodation or meal sales do not become network service revenue. Measure linked trade through redeemed referrals and attributed bookings.</w:t>
      </w:r>
    </w:p>
    <w:p>
      <w:pPr>
        <w:pStyle w:val="SourceNote"/>
      </w:pPr>
      <w:r>
        <w:t xml:space="preserve">Sources: </w:t>
      </w:r>
      <w:hyperlink w:anchor="source_M05">
        <w:r>
          <w:rPr>
            <w:color w:val="275E67"/>
            <w:u w:val="single"/>
          </w:rPr>
          <w:t xml:space="preserve">M05</w:t>
        </w:r>
      </w:hyperlink>
      <w:r>
        <w:t xml:space="preserve">, </w:t>
      </w:r>
      <w:hyperlink w:anchor="source_M16">
        <w:r>
          <w:rPr>
            <w:color w:val="275E67"/>
            <w:u w:val="single"/>
          </w:rPr>
          <w:t xml:space="preserve">M16</w:t>
        </w:r>
      </w:hyperlink>
      <w:r>
        <w:t xml:space="preserve">, </w:t>
      </w:r>
      <w:hyperlink w:anchor="source_M22">
        <w:r>
          <w:rPr>
            <w:color w:val="275E67"/>
            <w:u w:val="single"/>
          </w:rPr>
          <w:t xml:space="preserve">M22</w:t>
        </w:r>
      </w:hyperlink>
    </w:p>
    <w:p>
      <w:bookmarkStart w:id="14" w:name="s_network_tourism_Room_rotation_7f7cab"/>
      <w:pPr>
        <w:pStyle w:val="Heading2"/>
      </w:pPr>
      <w:r>
        <w:t>Room rotation</w:t>
      </w:r>
      <w:bookmarkEnd w:id="14"/>
    </w:p>
    <w:p>
      <w:pPr/>
      <w:r>
        <w:t>Mystery Rooms describes games placed with operators in Beechworth and Albury after consolidation at Fitzroy. Its vouchers exclude partner venues, so game movement does not itself establish shared ticket redemption.</w:t>
      </w:r>
    </w:p>
    <w:p>
      <w:pPr/>
      <w:r>
        <w:t>Rotation costs include removal, condition checks, freight, receiving-site works, installation, commissioning, paid training and downtime. Compare these with a fresh build and with renewing the room in place.</w:t>
      </w:r>
    </w:p>
    <w:p>
      <w:pPr>
        <w:pStyle w:val="SourceNote"/>
      </w:pPr>
      <w:r>
        <w:t xml:space="preserve">Sources: </w:t>
      </w:r>
      <w:hyperlink w:anchor="source_M16">
        <w:r>
          <w:rPr>
            <w:color w:val="275E67"/>
            <w:u w:val="single"/>
          </w:rPr>
          <w:t xml:space="preserve">M16</w:t>
        </w:r>
      </w:hyperlink>
    </w:p>
    <w:p>
      <w:bookmarkStart w:id="15" w:name="chapter_deployment"/>
      <w:pPr>
        <w:pStyle w:val="Heading1"/>
        <w:pageBreakBefore/>
      </w:pPr>
      <w:r>
        <w:t>Room design and deployment</w:t>
      </w:r>
      <w:bookmarkEnd w:id="15"/>
    </w:p>
    <w:p>
      <w:pPr>
        <w:pStyle w:val="Lead"/>
      </w:pPr>
      <w:r>
        <w:t>Room formats, recorded play and paid installation supported by JIT learning.</w:t>
      </w:r>
    </w:p>
    <w:p>
      <w:bookmarkStart w:id="16" w:name="s_deployment_Formats_and_space_97a68d"/>
      <w:pPr>
        <w:pStyle w:val="Heading2"/>
      </w:pPr>
      <w:r>
        <w:t>Formats and space</w:t>
      </w:r>
      <w:bookmarkEnd w:id="16"/>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3810"/>
        <w:gridCol w:w="6342"/>
      </w:tblGrid>
      <w:tr>
        <w:trPr>
          <w:cantSplit/>
          <w:tblHeader w:val="true"/>
        </w:trPr>
        <w:tc>
          <w:tcPr>
            <w:tcW w:type="dxa" w:w="3810"/>
            <w:vAlign w:val="center"/>
            <w:shd w:fill="203B4C"/>
          </w:tcPr>
          <w:p>
            <w:pPr>
              <w:pStyle w:val="TableHead"/>
              <w:keepNext/>
              <w:keepLines/>
            </w:pPr>
            <w:r>
              <w:rPr>
                <w:color w:val="FFFFFF"/>
              </w:rPr>
              <w:t>Format</w:t>
            </w:r>
          </w:p>
        </w:tc>
        <w:tc>
          <w:tcPr>
            <w:tcW w:type="dxa" w:w="6342"/>
            <w:vAlign w:val="center"/>
            <w:shd w:fill="203B4C"/>
          </w:tcPr>
          <w:p>
            <w:pPr>
              <w:pStyle w:val="TableHead"/>
              <w:keepNext/>
              <w:keepLines/>
            </w:pPr>
            <w:r>
              <w:rPr>
                <w:color w:val="FFFFFF"/>
              </w:rPr>
              <w:t>Space and cost to establish</w:t>
            </w:r>
          </w:p>
        </w:tc>
      </w:tr>
      <w:tr>
        <w:trPr>
          <w:cantSplit/>
        </w:trPr>
        <w:tc>
          <w:tcPr>
            <w:tcW w:type="dxa" w:w="3810"/>
            <w:vAlign w:val="top"/>
            <w:shd w:fill="EDF2EE"/>
          </w:tcPr>
          <w:p>
            <w:pPr>
              <w:pStyle w:val="TableText"/>
              <w:keepNext w:val="0"/>
              <w:keepLines/>
            </w:pPr>
            <w:r>
              <w:t>Hosted rooms</w:t>
            </w:r>
          </w:p>
        </w:tc>
        <w:tc>
          <w:tcPr>
            <w:tcW w:type="dxa" w:w="6342"/>
            <w:vAlign w:val="top"/>
            <w:shd w:fill="EDF2EE"/>
          </w:tcPr>
          <w:p>
            <w:pPr>
              <w:pStyle w:val="TableText"/>
              <w:keepNext w:val="0"/>
              <w:keepLines/>
            </w:pPr>
            <w:r>
              <w:t>Game areas plus the host's actual reception, reflection, amenities, storage and access provision.</w:t>
            </w:r>
          </w:p>
        </w:tc>
      </w:tr>
      <w:tr>
        <w:trPr>
          <w:cantSplit/>
        </w:trPr>
        <w:tc>
          <w:tcPr>
            <w:tcW w:type="dxa" w:w="3810"/>
            <w:vAlign w:val="top"/>
            <w:shd w:fill="FFFFFF"/>
          </w:tcPr>
          <w:p>
            <w:pPr>
              <w:pStyle w:val="TableText"/>
              <w:keepNext w:val="0"/>
              <w:keepLines/>
            </w:pPr>
            <w:r>
              <w:t>Dedicated venue</w:t>
            </w:r>
          </w:p>
        </w:tc>
        <w:tc>
          <w:tcPr>
            <w:tcW w:type="dxa" w:w="6342"/>
            <w:vAlign w:val="top"/>
            <w:shd w:fill="FFFFFF"/>
          </w:tcPr>
          <w:p>
            <w:pPr>
              <w:pStyle w:val="TableText"/>
              <w:keepNext w:val="0"/>
              <w:keepLines/>
            </w:pPr>
            <w:r>
              <w:t>Game modules and all support spaces, services, premises costs and staffing.</w:t>
            </w:r>
          </w:p>
        </w:tc>
      </w:tr>
      <w:tr>
        <w:trPr>
          <w:cantSplit/>
        </w:trPr>
        <w:tc>
          <w:tcPr>
            <w:tcW w:type="dxa" w:w="3810"/>
            <w:vAlign w:val="top"/>
            <w:shd w:fill="EDF2EE"/>
          </w:tcPr>
          <w:p>
            <w:pPr>
              <w:pStyle w:val="TableText"/>
              <w:keepNext w:val="0"/>
              <w:keepLines/>
            </w:pPr>
            <w:r>
              <w:t>Partner installation or replacement</w:t>
            </w:r>
          </w:p>
        </w:tc>
        <w:tc>
          <w:tcPr>
            <w:tcW w:type="dxa" w:w="6342"/>
            <w:vAlign w:val="top"/>
            <w:shd w:fill="EDF2EE"/>
          </w:tcPr>
          <w:p>
            <w:pPr>
              <w:pStyle w:val="TableText"/>
              <w:keepNext w:val="0"/>
              <w:keepLines/>
            </w:pPr>
            <w:r>
              <w:t>Measured module, interfaces with the existing venue and paid commissioning.</w:t>
            </w:r>
          </w:p>
        </w:tc>
      </w:tr>
    </w:tbl>
    <w:p>
      <w:pPr>
        <w:spacing w:after="20" w:before="0" w:line="240" w:lineRule="auto"/>
      </w:pPr>
      <w:r>
        <w:rPr>
          <w:sz w:val="6"/>
        </w:rPr>
      </w:r>
    </w:p>
    <w:p>
      <w:pPr/>
      <w:r>
        <w:rPr>
          <w:b/>
        </w:rPr>
        <w:t>Whole venue area = game areas + reflection and teaching + reception + control + storage + amenities + quiet space + circulation.</w:t>
      </w:r>
      <w:r>
        <w:t xml:space="preserve"> Use measured usable areas. No national average room area is established by the supplier sample.</w:t>
      </w:r>
    </w:p>
    <w:p>
      <w:pPr>
        <w:pStyle w:val="SourceNote"/>
      </w:pPr>
      <w:r>
        <w:t xml:space="preserve">Sources: </w:t>
      </w:r>
      <w:hyperlink w:anchor="source_M11">
        <w:r>
          <w:rPr>
            <w:color w:val="275E67"/>
            <w:u w:val="single"/>
          </w:rPr>
          <w:t xml:space="preserve">M11</w:t>
        </w:r>
      </w:hyperlink>
      <w:r>
        <w:t xml:space="preserve">, </w:t>
      </w:r>
      <w:hyperlink w:anchor="source_M14">
        <w:r>
          <w:rPr>
            <w:color w:val="275E67"/>
            <w:u w:val="single"/>
          </w:rPr>
          <w:t xml:space="preserve">M14</w:t>
        </w:r>
      </w:hyperlink>
    </w:p>
    <w:p>
      <w:bookmarkStart w:id="17" w:name="s_deployment_Independent_play_a_fd8e57"/>
      <w:pPr>
        <w:pStyle w:val="Heading2"/>
      </w:pPr>
      <w:r>
        <w:t>Independent play and room cycles</w:t>
      </w:r>
      <w:bookmarkEnd w:id="17"/>
    </w:p>
    <w:p>
      <w:pPr/>
      <w:r>
        <w:t>Rooms run without hints. Necessary clues and instructions sit inside the game. Staff respond directly to safety, access and technical failures. Reflection follows play, including an unfinished challenge.</w:t>
      </w:r>
    </w:p>
    <w:p>
      <w:pPr/>
      <w:r>
        <w:rPr>
          <w:b/>
        </w:rPr>
        <w:t>Cycle minutes = play + reset + buffer.</w:t>
      </w:r>
      <w:r>
        <w:t xml:space="preserve"> The summary calculator checks offered starts against the available room window. Briefing and reflection can overlap play only where space and staffing permit. Simultaneous school cohorts need their own timetable.</w:t>
      </w:r>
    </w:p>
    <w:p>
      <w:bookmarkStart w:id="18" w:name="s_deployment_Recording_and_refl_f28b50"/>
      <w:pPr>
        <w:pStyle w:val="Heading2"/>
      </w:pPr>
      <w:r>
        <w:t>Recording and reflection</w:t>
      </w:r>
      <w:bookmarkEnd w:id="18"/>
    </w:p>
    <w:p>
      <w:pPr/>
      <w:r>
        <w:t>Recording is built into the experience, explained before play and offered with a clear opt-out. Opted-out people and their speech must be excluded from capture; removing only their wearable microphone may still leave them audible on other channels. The room and booking design must make that choice workable.</w:t>
      </w:r>
    </w:p>
    <w:p>
      <w:pPr/>
      <w:r>
        <w:t>Captured speech and task events support post-play reflection. Test movement, overlapping voices, speaker attribution, timestamp accuracy, transfer time and facilitator review time. RØDE states up to four Wireless PRO kits, eight transmitters, in one place. That limit prevents treating a consumer single-room setup as a validated multi-room radio system.</w:t>
      </w:r>
    </w:p>
    <w:p>
      <w:pPr/>
      <w:r>
        <w:t>Game controls must function independently of transcription. Recording, retention, personal Aura continuity, research and publication require separate controls.</w:t>
      </w:r>
    </w:p>
    <w:p>
      <w:pPr>
        <w:pStyle w:val="SourceNote"/>
      </w:pPr>
      <w:r>
        <w:t xml:space="preserve">Sources: </w:t>
      </w:r>
      <w:hyperlink w:anchor="source_R107">
        <w:r>
          <w:rPr>
            <w:color w:val="275E67"/>
            <w:u w:val="single"/>
          </w:rPr>
          <w:t xml:space="preserve">R107</w:t>
        </w:r>
      </w:hyperlink>
      <w:r>
        <w:t xml:space="preserve">, </w:t>
      </w:r>
      <w:hyperlink w:anchor="source_D03">
        <w:r>
          <w:rPr>
            <w:color w:val="275E67"/>
            <w:u w:val="single"/>
          </w:rPr>
          <w:t xml:space="preserve">D03</w:t>
        </w:r>
      </w:hyperlink>
      <w:r>
        <w:t xml:space="preserve">, </w:t>
      </w:r>
      <w:hyperlink w:anchor="source_D04">
        <w:r>
          <w:rPr>
            <w:color w:val="275E67"/>
            <w:u w:val="single"/>
          </w:rPr>
          <w:t xml:space="preserve">D04</w:t>
        </w:r>
      </w:hyperlink>
      <w:r>
        <w:t xml:space="preserve">, </w:t>
      </w:r>
      <w:hyperlink w:anchor="source_P01">
        <w:r>
          <w:rPr>
            <w:color w:val="275E67"/>
            <w:u w:val="single"/>
          </w:rPr>
          <w:t xml:space="preserve">P01</w:t>
        </w:r>
      </w:hyperlink>
    </w:p>
    <w:p>
      <w:bookmarkStart w:id="19" w:name="s_deployment_Reusable_modules_a_70d4e8"/>
      <w:pPr>
        <w:pStyle w:val="Heading2"/>
      </w:pPr>
      <w:r>
        <w:t>Reusable modules and JIT learning</w:t>
      </w:r>
      <w:bookmarkEnd w:id="19"/>
    </w:p>
    <w:p>
      <w:pPr/>
      <w:r>
        <w:t>Replaceable puzzles, service panels, labelled wiring, reset states and versioned parts lists support renewal and installation by another paid crew. Local stories can change around reusable mechanisms.</w:t>
      </w:r>
    </w:p>
    <w:p>
      <w:pPr/>
      <w:r>
        <w:t>JIT lessons attach to a specific task: drawing, tools, method, demonstration, checks and acceptance. Record useful faults and corrections. Cost paid learning, filming, editing, mentoring and handover alongside installation. Lessons support skilled work; licensed and specialist work stays with the relevant qualified people.</w:t>
      </w:r>
    </w:p>
    <w:p>
      <w:pPr>
        <w:pStyle w:val="SourceNote"/>
      </w:pPr>
      <w:r>
        <w:t xml:space="preserve">Sources: </w:t>
      </w:r>
      <w:hyperlink w:anchor="source_D05">
        <w:r>
          <w:rPr>
            <w:color w:val="275E67"/>
            <w:u w:val="single"/>
          </w:rPr>
          <w:t xml:space="preserve">D05</w:t>
        </w:r>
      </w:hyperlink>
      <w:r>
        <w:t xml:space="preserve">, </w:t>
      </w:r>
      <w:hyperlink w:anchor="source_D06">
        <w:r>
          <w:rPr>
            <w:color w:val="275E67"/>
            <w:u w:val="single"/>
          </w:rPr>
          <w:t xml:space="preserve">D06</w:t>
        </w:r>
      </w:hyperlink>
      <w:r>
        <w:t xml:space="preserve">, </w:t>
      </w:r>
      <w:hyperlink w:anchor="source_P05">
        <w:r>
          <w:rPr>
            <w:color w:val="275E67"/>
            <w:u w:val="single"/>
          </w:rPr>
          <w:t xml:space="preserve">P05</w:t>
        </w:r>
      </w:hyperlink>
    </w:p>
    <w:p>
      <w:bookmarkStart w:id="20" w:name="chapter_economics"/>
      <w:pPr>
        <w:pStyle w:val="Heading1"/>
        <w:pageBreakBefore/>
      </w:pPr>
      <w:r>
        <w:t>Cost evidence and calculators</w:t>
      </w:r>
      <w:bookmarkEnd w:id="20"/>
    </w:p>
    <w:p>
      <w:pPr>
        <w:pStyle w:val="Lead"/>
      </w:pPr>
      <w:r>
        <w:t>Published unit prices, new and used options, and the unpriced delivery scope.</w:t>
      </w:r>
    </w:p>
    <w:p>
      <w:bookmarkStart w:id="21" w:name="s_economics_Equipment_unit_pric_816ce1"/>
      <w:pPr>
        <w:pStyle w:val="Heading2"/>
      </w:pPr>
      <w:r>
        <w:t>Equipment unit prices</w:t>
      </w:r>
      <w:bookmarkEnd w:id="21"/>
    </w:p>
    <w:p>
      <w:pPr>
        <w:pStyle w:val="SourceNote"/>
        <w:keepNext/>
      </w:pPr>
      <w:r>
        <w:t>Checked 30 Oct 2026 · Advertised AUD prices</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3017"/>
        <w:gridCol w:w="1432"/>
        <w:gridCol w:w="4112"/>
        <w:gridCol w:w="1591"/>
      </w:tblGrid>
      <w:tr>
        <w:trPr>
          <w:cantSplit/>
          <w:tblHeader w:val="true"/>
        </w:trPr>
        <w:tc>
          <w:tcPr>
            <w:tcW w:type="dxa" w:w="3017"/>
            <w:vAlign w:val="center"/>
            <w:shd w:fill="203B4C"/>
          </w:tcPr>
          <w:p>
            <w:pPr>
              <w:pStyle w:val="TableHead"/>
              <w:keepNext/>
              <w:keepLines/>
            </w:pPr>
            <w:r>
              <w:rPr>
                <w:color w:val="FFFFFF"/>
              </w:rPr>
              <w:t>Item</w:t>
            </w:r>
          </w:p>
        </w:tc>
        <w:tc>
          <w:tcPr>
            <w:tcW w:type="dxa" w:w="1432"/>
            <w:vAlign w:val="center"/>
            <w:shd w:fill="203B4C"/>
          </w:tcPr>
          <w:p>
            <w:pPr>
              <w:pStyle w:val="TableHead"/>
              <w:keepNext/>
              <w:keepLines/>
              <w:jc w:val="center"/>
            </w:pPr>
            <w:r>
              <w:rPr>
                <w:color w:val="FFFFFF"/>
              </w:rPr>
              <w:t>Advertised each</w:t>
            </w:r>
          </w:p>
        </w:tc>
        <w:tc>
          <w:tcPr>
            <w:tcW w:type="dxa" w:w="4112"/>
            <w:vAlign w:val="center"/>
            <w:shd w:fill="203B4C"/>
          </w:tcPr>
          <w:p>
            <w:pPr>
              <w:pStyle w:val="TableHead"/>
              <w:keepNext/>
              <w:keepLines/>
            </w:pPr>
            <w:r>
              <w:rPr>
                <w:color w:val="FFFFFF"/>
              </w:rPr>
              <w:t>Scope note</w:t>
            </w:r>
          </w:p>
        </w:tc>
        <w:tc>
          <w:tcPr>
            <w:tcW w:type="dxa" w:w="1591"/>
            <w:vAlign w:val="center"/>
            <w:shd w:fill="203B4C"/>
          </w:tcPr>
          <w:p>
            <w:pPr>
              <w:pStyle w:val="TableHead"/>
              <w:keepNext/>
              <w:keepLines/>
            </w:pPr>
            <w:r>
              <w:rPr>
                <w:color w:val="FFFFFF"/>
              </w:rPr>
              <w:t>Source</w:t>
            </w:r>
          </w:p>
        </w:tc>
      </w:tr>
      <w:tr>
        <w:trPr>
          <w:cantSplit/>
        </w:trPr>
        <w:tc>
          <w:tcPr>
            <w:tcW w:type="dxa" w:w="3017"/>
            <w:vAlign w:val="top"/>
            <w:shd w:fill="EDF2EE"/>
          </w:tcPr>
          <w:p>
            <w:pPr>
              <w:pStyle w:val="TableText"/>
              <w:keepNext w:val="0"/>
              <w:keepLines/>
            </w:pPr>
            <w:r>
              <w:t>RØDE Wireless PRO dual kit</w:t>
            </w:r>
          </w:p>
        </w:tc>
        <w:tc>
          <w:tcPr>
            <w:tcW w:type="dxa" w:w="1432"/>
            <w:vAlign w:val="center"/>
            <w:shd w:fill="EDF2EE"/>
          </w:tcPr>
          <w:p>
            <w:pPr>
              <w:pStyle w:val="TableText"/>
              <w:keepNext w:val="0"/>
              <w:keepLines/>
              <w:jc w:val="center"/>
            </w:pPr>
            <w:r>
              <w:t>$385</w:t>
            </w:r>
          </w:p>
        </w:tc>
        <w:tc>
          <w:tcPr>
            <w:tcW w:type="dxa" w:w="4112"/>
            <w:vAlign w:val="top"/>
            <w:shd w:fill="EDF2EE"/>
          </w:tcPr>
          <w:p>
            <w:pPr>
              <w:pStyle w:val="TableText"/>
              <w:keepNext w:val="0"/>
              <w:keepLines/>
            </w:pPr>
            <w:r>
              <w:t>Two transmitters; observed promotional price.</w:t>
            </w:r>
          </w:p>
        </w:tc>
        <w:tc>
          <w:tcPr>
            <w:tcW w:type="dxa" w:w="1591"/>
            <w:vAlign w:val="top"/>
            <w:shd w:fill="EDF2EE"/>
          </w:tcPr>
          <w:p>
            <w:pPr>
              <w:pStyle w:val="TableText"/>
              <w:keepNext w:val="0"/>
              <w:keepLines/>
            </w:pPr>
            <w:hyperlink w:anchor="source_R106">
              <w:r>
                <w:rPr>
                  <w:color w:val="275E67"/>
                  <w:u w:val="single"/>
                </w:rPr>
                <w:t xml:space="preserve">R106</w:t>
              </w:r>
            </w:hyperlink>
          </w:p>
        </w:tc>
      </w:tr>
      <w:tr>
        <w:trPr>
          <w:cantSplit/>
        </w:trPr>
        <w:tc>
          <w:tcPr>
            <w:tcW w:type="dxa" w:w="3017"/>
            <w:vAlign w:val="top"/>
            <w:shd w:fill="FFFFFF"/>
          </w:tcPr>
          <w:p>
            <w:pPr>
              <w:pStyle w:val="TableText"/>
              <w:keepNext w:val="0"/>
              <w:keepLines/>
            </w:pPr>
            <w:r>
              <w:t>Zoom LiveTrak L-8</w:t>
            </w:r>
          </w:p>
        </w:tc>
        <w:tc>
          <w:tcPr>
            <w:tcW w:type="dxa" w:w="1432"/>
            <w:vAlign w:val="center"/>
            <w:shd w:fill="FFFFFF"/>
          </w:tcPr>
          <w:p>
            <w:pPr>
              <w:pStyle w:val="TableText"/>
              <w:keepNext w:val="0"/>
              <w:keepLines/>
              <w:jc w:val="center"/>
            </w:pPr>
            <w:r>
              <w:t>$715</w:t>
            </w:r>
          </w:p>
        </w:tc>
        <w:tc>
          <w:tcPr>
            <w:tcW w:type="dxa" w:w="4112"/>
            <w:vAlign w:val="top"/>
            <w:shd w:fill="FFFFFF"/>
          </w:tcPr>
          <w:p>
            <w:pPr>
              <w:pStyle w:val="TableText"/>
              <w:keepNext w:val="0"/>
              <w:keepLines/>
            </w:pPr>
            <w:r>
              <w:t>Recorder/mixer; backorder displayed.</w:t>
            </w:r>
          </w:p>
        </w:tc>
        <w:tc>
          <w:tcPr>
            <w:tcW w:type="dxa" w:w="1591"/>
            <w:vAlign w:val="top"/>
            <w:shd w:fill="FFFFFF"/>
          </w:tcPr>
          <w:p>
            <w:pPr>
              <w:pStyle w:val="TableText"/>
              <w:keepNext w:val="0"/>
              <w:keepLines/>
            </w:pPr>
            <w:hyperlink w:anchor="source_R108">
              <w:r>
                <w:rPr>
                  <w:color w:val="275E67"/>
                  <w:u w:val="single"/>
                </w:rPr>
                <w:t xml:space="preserve">R108</w:t>
              </w:r>
            </w:hyperlink>
          </w:p>
        </w:tc>
      </w:tr>
      <w:tr>
        <w:trPr>
          <w:cantSplit/>
        </w:trPr>
        <w:tc>
          <w:tcPr>
            <w:tcW w:type="dxa" w:w="3017"/>
            <w:vAlign w:val="top"/>
            <w:shd w:fill="EDF2EE"/>
          </w:tcPr>
          <w:p>
            <w:pPr>
              <w:pStyle w:val="TableText"/>
              <w:keepNext w:val="0"/>
              <w:keepLines/>
            </w:pPr>
            <w:r>
              <w:t>Hosa CMP-159 cable</w:t>
            </w:r>
          </w:p>
        </w:tc>
        <w:tc>
          <w:tcPr>
            <w:tcW w:type="dxa" w:w="1432"/>
            <w:vAlign w:val="center"/>
            <w:shd w:fill="EDF2EE"/>
          </w:tcPr>
          <w:p>
            <w:pPr>
              <w:pStyle w:val="TableText"/>
              <w:keepNext w:val="0"/>
              <w:keepLines/>
              <w:jc w:val="center"/>
            </w:pPr>
            <w:r>
              <w:t>$22</w:t>
            </w:r>
          </w:p>
        </w:tc>
        <w:tc>
          <w:tcPr>
            <w:tcW w:type="dxa" w:w="4112"/>
            <w:vAlign w:val="top"/>
            <w:shd w:fill="EDF2EE"/>
          </w:tcPr>
          <w:p>
            <w:pPr>
              <w:pStyle w:val="TableText"/>
              <w:keepNext w:val="0"/>
              <w:keepLines/>
            </w:pPr>
            <w:r>
              <w:t>Stereo breakout cable; observed promotional price.</w:t>
            </w:r>
          </w:p>
        </w:tc>
        <w:tc>
          <w:tcPr>
            <w:tcW w:type="dxa" w:w="1591"/>
            <w:vAlign w:val="top"/>
            <w:shd w:fill="EDF2EE"/>
          </w:tcPr>
          <w:p>
            <w:pPr>
              <w:pStyle w:val="TableText"/>
              <w:keepNext w:val="0"/>
              <w:keepLines/>
            </w:pPr>
            <w:hyperlink w:anchor="source_R109">
              <w:r>
                <w:rPr>
                  <w:color w:val="275E67"/>
                  <w:u w:val="single"/>
                </w:rPr>
                <w:t xml:space="preserve">R109</w:t>
              </w:r>
            </w:hyperlink>
          </w:p>
        </w:tc>
      </w:tr>
      <w:tr>
        <w:trPr>
          <w:cantSplit/>
        </w:trPr>
        <w:tc>
          <w:tcPr>
            <w:tcW w:type="dxa" w:w="3017"/>
            <w:vAlign w:val="top"/>
            <w:shd w:fill="FFFFFF"/>
          </w:tcPr>
          <w:p>
            <w:pPr>
              <w:pStyle w:val="TableText"/>
              <w:keepNext w:val="0"/>
              <w:keepLines/>
            </w:pPr>
            <w:r>
              <w:t>Refurbished HP EliteDesk 800 G6 Mini</w:t>
            </w:r>
          </w:p>
        </w:tc>
        <w:tc>
          <w:tcPr>
            <w:tcW w:type="dxa" w:w="1432"/>
            <w:vAlign w:val="center"/>
            <w:shd w:fill="FFFFFF"/>
          </w:tcPr>
          <w:p>
            <w:pPr>
              <w:pStyle w:val="TableText"/>
              <w:keepNext w:val="0"/>
              <w:keepLines/>
              <w:jc w:val="center"/>
            </w:pPr>
            <w:r>
              <w:t>$399</w:t>
            </w:r>
          </w:p>
        </w:tc>
        <w:tc>
          <w:tcPr>
            <w:tcW w:type="dxa" w:w="4112"/>
            <w:vAlign w:val="top"/>
            <w:shd w:fill="FFFFFF"/>
          </w:tcPr>
          <w:p>
            <w:pPr>
              <w:pStyle w:val="TableText"/>
              <w:keepNext w:val="0"/>
              <w:keepLines/>
            </w:pPr>
            <w:r>
              <w:t>Grade A, i5 tenth generation, 16 GB RAM, 256 GB SSD.</w:t>
            </w:r>
          </w:p>
        </w:tc>
        <w:tc>
          <w:tcPr>
            <w:tcW w:type="dxa" w:w="1591"/>
            <w:vAlign w:val="top"/>
            <w:shd w:fill="FFFFFF"/>
          </w:tcPr>
          <w:p>
            <w:pPr>
              <w:pStyle w:val="TableText"/>
              <w:keepNext w:val="0"/>
              <w:keepLines/>
            </w:pPr>
            <w:hyperlink w:anchor="source_R115">
              <w:r>
                <w:rPr>
                  <w:color w:val="275E67"/>
                  <w:u w:val="single"/>
                </w:rPr>
                <w:t xml:space="preserve">R115</w:t>
              </w:r>
            </w:hyperlink>
          </w:p>
        </w:tc>
      </w:tr>
      <w:tr>
        <w:trPr>
          <w:cantSplit/>
        </w:trPr>
        <w:tc>
          <w:tcPr>
            <w:tcW w:type="dxa" w:w="3017"/>
            <w:vAlign w:val="top"/>
            <w:shd w:fill="EDF2EE"/>
          </w:tcPr>
          <w:p>
            <w:pPr>
              <w:pStyle w:val="TableText"/>
              <w:keepNext w:val="0"/>
              <w:keepLines/>
            </w:pPr>
            <w:r>
              <w:t>CyberPower CP900EPFCLCDa UPS</w:t>
            </w:r>
          </w:p>
        </w:tc>
        <w:tc>
          <w:tcPr>
            <w:tcW w:type="dxa" w:w="1432"/>
            <w:vAlign w:val="center"/>
            <w:shd w:fill="EDF2EE"/>
          </w:tcPr>
          <w:p>
            <w:pPr>
              <w:pStyle w:val="TableText"/>
              <w:keepNext w:val="0"/>
              <w:keepLines/>
              <w:jc w:val="center"/>
            </w:pPr>
            <w:r>
              <w:t>$299</w:t>
            </w:r>
          </w:p>
        </w:tc>
        <w:tc>
          <w:tcPr>
            <w:tcW w:type="dxa" w:w="4112"/>
            <w:vAlign w:val="top"/>
            <w:shd w:fill="EDF2EE"/>
          </w:tcPr>
          <w:p>
            <w:pPr>
              <w:pStyle w:val="TableText"/>
              <w:keepNext w:val="0"/>
              <w:keepLines/>
            </w:pPr>
            <w:r>
              <w:t>900 VA / 540 W; actual load and runtime require testing.</w:t>
            </w:r>
          </w:p>
        </w:tc>
        <w:tc>
          <w:tcPr>
            <w:tcW w:type="dxa" w:w="1591"/>
            <w:vAlign w:val="top"/>
            <w:shd w:fill="EDF2EE"/>
          </w:tcPr>
          <w:p>
            <w:pPr>
              <w:pStyle w:val="TableText"/>
              <w:keepNext w:val="0"/>
              <w:keepLines/>
            </w:pPr>
            <w:hyperlink w:anchor="source_R116">
              <w:r>
                <w:rPr>
                  <w:color w:val="275E67"/>
                  <w:u w:val="single"/>
                </w:rPr>
                <w:t xml:space="preserve">R116</w:t>
              </w:r>
            </w:hyperlink>
          </w:p>
        </w:tc>
      </w:tr>
    </w:tbl>
    <w:p>
      <w:pPr>
        <w:spacing w:after="20" w:before="0" w:line="240" w:lineRule="auto"/>
      </w:pPr>
      <w:r>
        <w:rPr>
          <w:sz w:val="6"/>
        </w:rPr>
      </w:r>
    </w:p>
    <w:p>
      <w:pPr/>
      <w:r>
        <w:t>Quantities, compatibility, storage, playback, cleaning, transfer and multi-room engineering remain separate. Listed prices do not establish a complete recording system.</w:t>
      </w:r>
    </w:p>
    <w:p>
      <w:pPr>
        <w:pStyle w:val="SourceNote"/>
      </w:pPr>
      <w:r>
        <w:t xml:space="preserve">Sources: </w:t>
      </w:r>
      <w:hyperlink w:anchor="source_R106">
        <w:r>
          <w:rPr>
            <w:color w:val="275E67"/>
            <w:u w:val="single"/>
          </w:rPr>
          <w:t xml:space="preserve">R106</w:t>
        </w:r>
      </w:hyperlink>
      <w:r>
        <w:t xml:space="preserve">, </w:t>
      </w:r>
      <w:hyperlink w:anchor="source_R107">
        <w:r>
          <w:rPr>
            <w:color w:val="275E67"/>
            <w:u w:val="single"/>
          </w:rPr>
          <w:t xml:space="preserve">R107</w:t>
        </w:r>
      </w:hyperlink>
      <w:r>
        <w:t xml:space="preserve">, </w:t>
      </w:r>
      <w:hyperlink w:anchor="source_R108">
        <w:r>
          <w:rPr>
            <w:color w:val="275E67"/>
            <w:u w:val="single"/>
          </w:rPr>
          <w:t xml:space="preserve">R108</w:t>
        </w:r>
      </w:hyperlink>
      <w:r>
        <w:t xml:space="preserve">, </w:t>
      </w:r>
      <w:hyperlink w:anchor="source_R109">
        <w:r>
          <w:rPr>
            <w:color w:val="275E67"/>
            <w:u w:val="single"/>
          </w:rPr>
          <w:t xml:space="preserve">R109</w:t>
        </w:r>
      </w:hyperlink>
      <w:r>
        <w:t xml:space="preserve">, </w:t>
      </w:r>
      <w:hyperlink w:anchor="source_R115">
        <w:r>
          <w:rPr>
            <w:color w:val="275E67"/>
            <w:u w:val="single"/>
          </w:rPr>
          <w:t xml:space="preserve">R115</w:t>
        </w:r>
      </w:hyperlink>
      <w:r>
        <w:t xml:space="preserve">, </w:t>
      </w:r>
      <w:hyperlink w:anchor="source_R116">
        <w:r>
          <w:rPr>
            <w:color w:val="275E67"/>
            <w:u w:val="single"/>
          </w:rPr>
          <w:t xml:space="preserve">R116</w:t>
        </w:r>
      </w:hyperlink>
    </w:p>
    <w:p>
      <w:bookmarkStart w:id="22" w:name="s_economics_New_and_secondhand__5a8405"/>
      <w:pPr>
        <w:pStyle w:val="Heading2"/>
      </w:pPr>
      <w:r>
        <w:t>New and secondhand furnishings</w:t>
      </w:r>
      <w:bookmarkEnd w:id="22"/>
    </w:p>
    <w:p>
      <w:pPr>
        <w:pStyle w:val="SourceNote"/>
        <w:keepNext/>
      </w:pPr>
      <w:r>
        <w:t>Checked 30 Oct 2026 · Advertised AUD prices</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2987"/>
        <w:gridCol w:w="2276"/>
        <w:gridCol w:w="3393"/>
        <w:gridCol w:w="1497"/>
      </w:tblGrid>
      <w:tr>
        <w:trPr>
          <w:cantSplit/>
          <w:tblHeader w:val="true"/>
        </w:trPr>
        <w:tc>
          <w:tcPr>
            <w:tcW w:type="dxa" w:w="2987"/>
            <w:vAlign w:val="center"/>
            <w:shd w:fill="203B4C"/>
          </w:tcPr>
          <w:p>
            <w:pPr>
              <w:pStyle w:val="TableHead"/>
              <w:keepNext/>
              <w:keepLines/>
            </w:pPr>
            <w:r>
              <w:rPr>
                <w:color w:val="FFFFFF"/>
              </w:rPr>
              <w:t>Item</w:t>
            </w:r>
          </w:p>
        </w:tc>
        <w:tc>
          <w:tcPr>
            <w:tcW w:type="dxa" w:w="2276"/>
            <w:vAlign w:val="center"/>
            <w:shd w:fill="203B4C"/>
          </w:tcPr>
          <w:p>
            <w:pPr>
              <w:pStyle w:val="TableHead"/>
              <w:keepNext/>
              <w:keepLines/>
            </w:pPr>
            <w:r>
              <w:rPr>
                <w:color w:val="FFFFFF"/>
              </w:rPr>
              <w:t>Advertised each</w:t>
            </w:r>
          </w:p>
        </w:tc>
        <w:tc>
          <w:tcPr>
            <w:tcW w:type="dxa" w:w="3393"/>
            <w:vAlign w:val="center"/>
            <w:shd w:fill="203B4C"/>
          </w:tcPr>
          <w:p>
            <w:pPr>
              <w:pStyle w:val="TableHead"/>
              <w:keepNext/>
              <w:keepLines/>
            </w:pPr>
            <w:r>
              <w:rPr>
                <w:color w:val="FFFFFF"/>
              </w:rPr>
              <w:t>Condition and evidence</w:t>
            </w:r>
          </w:p>
        </w:tc>
        <w:tc>
          <w:tcPr>
            <w:tcW w:type="dxa" w:w="1497"/>
            <w:vAlign w:val="center"/>
            <w:shd w:fill="203B4C"/>
          </w:tcPr>
          <w:p>
            <w:pPr>
              <w:pStyle w:val="TableHead"/>
              <w:keepNext/>
              <w:keepLines/>
            </w:pPr>
            <w:r>
              <w:rPr>
                <w:color w:val="FFFFFF"/>
              </w:rPr>
              <w:t>Source</w:t>
            </w:r>
          </w:p>
        </w:tc>
      </w:tr>
      <w:tr>
        <w:trPr>
          <w:cantSplit/>
        </w:trPr>
        <w:tc>
          <w:tcPr>
            <w:tcW w:type="dxa" w:w="2987"/>
            <w:vAlign w:val="top"/>
            <w:shd w:fill="EDF2EE"/>
          </w:tcPr>
          <w:p>
            <w:pPr>
              <w:pStyle w:val="TableText"/>
              <w:keepNext w:val="0"/>
              <w:keepLines/>
            </w:pPr>
            <w:r>
              <w:t>Matrix visitor chair</w:t>
            </w:r>
          </w:p>
        </w:tc>
        <w:tc>
          <w:tcPr>
            <w:tcW w:type="dxa" w:w="2276"/>
            <w:vAlign w:val="top"/>
            <w:shd w:fill="EDF2EE"/>
          </w:tcPr>
          <w:p>
            <w:pPr>
              <w:pStyle w:val="TableText"/>
              <w:keepNext w:val="0"/>
              <w:keepLines/>
            </w:pPr>
            <w:r>
              <w:t>$179</w:t>
            </w:r>
          </w:p>
        </w:tc>
        <w:tc>
          <w:tcPr>
            <w:tcW w:type="dxa" w:w="3393"/>
            <w:vAlign w:val="top"/>
            <w:shd w:fill="EDF2EE"/>
          </w:tcPr>
          <w:p>
            <w:pPr>
              <w:pStyle w:val="TableText"/>
              <w:keepNext w:val="0"/>
              <w:keepLines/>
            </w:pPr>
            <w:r>
              <w:t>New.</w:t>
            </w:r>
          </w:p>
        </w:tc>
        <w:tc>
          <w:tcPr>
            <w:tcW w:type="dxa" w:w="1497"/>
            <w:vAlign w:val="top"/>
            <w:shd w:fill="EDF2EE"/>
          </w:tcPr>
          <w:p>
            <w:pPr>
              <w:pStyle w:val="TableText"/>
              <w:keepNext w:val="0"/>
              <w:keepLines/>
            </w:pPr>
            <w:hyperlink w:anchor="source_R110">
              <w:r>
                <w:rPr>
                  <w:color w:val="275E67"/>
                  <w:u w:val="single"/>
                </w:rPr>
                <w:t xml:space="preserve">R110</w:t>
              </w:r>
            </w:hyperlink>
          </w:p>
        </w:tc>
      </w:tr>
      <w:tr>
        <w:trPr>
          <w:cantSplit/>
        </w:trPr>
        <w:tc>
          <w:tcPr>
            <w:tcW w:type="dxa" w:w="2987"/>
            <w:vAlign w:val="top"/>
            <w:shd w:fill="FFFFFF"/>
          </w:tcPr>
          <w:p>
            <w:pPr>
              <w:pStyle w:val="TableText"/>
              <w:keepNext w:val="0"/>
              <w:keepLines/>
            </w:pPr>
            <w:r>
              <w:t>Matrix visitor armchair</w:t>
            </w:r>
          </w:p>
        </w:tc>
        <w:tc>
          <w:tcPr>
            <w:tcW w:type="dxa" w:w="2276"/>
            <w:vAlign w:val="top"/>
            <w:shd w:fill="FFFFFF"/>
          </w:tcPr>
          <w:p>
            <w:pPr>
              <w:pStyle w:val="TableText"/>
              <w:keepNext w:val="0"/>
              <w:keepLines/>
            </w:pPr>
            <w:r>
              <w:t>$199</w:t>
            </w:r>
          </w:p>
        </w:tc>
        <w:tc>
          <w:tcPr>
            <w:tcW w:type="dxa" w:w="3393"/>
            <w:vAlign w:val="top"/>
            <w:shd w:fill="FFFFFF"/>
          </w:tcPr>
          <w:p>
            <w:pPr>
              <w:pStyle w:val="TableText"/>
              <w:keepNext w:val="0"/>
              <w:keepLines/>
            </w:pPr>
            <w:r>
              <w:t>New; compare support and load rating with the actual model.</w:t>
            </w:r>
          </w:p>
        </w:tc>
        <w:tc>
          <w:tcPr>
            <w:tcW w:type="dxa" w:w="1497"/>
            <w:vAlign w:val="top"/>
            <w:shd w:fill="FFFFFF"/>
          </w:tcPr>
          <w:p>
            <w:pPr>
              <w:pStyle w:val="TableText"/>
              <w:keepNext w:val="0"/>
              <w:keepLines/>
            </w:pPr>
            <w:hyperlink w:anchor="source_R111">
              <w:r>
                <w:rPr>
                  <w:color w:val="275E67"/>
                  <w:u w:val="single"/>
                </w:rPr>
                <w:t xml:space="preserve">R111</w:t>
              </w:r>
            </w:hyperlink>
          </w:p>
        </w:tc>
      </w:tr>
      <w:tr>
        <w:trPr>
          <w:cantSplit/>
        </w:trPr>
        <w:tc>
          <w:tcPr>
            <w:tcW w:type="dxa" w:w="2987"/>
            <w:vAlign w:val="top"/>
            <w:shd w:fill="EDF2EE"/>
          </w:tcPr>
          <w:p>
            <w:pPr>
              <w:pStyle w:val="TableText"/>
              <w:keepNext w:val="0"/>
              <w:keepLines/>
            </w:pPr>
            <w:r>
              <w:t>Rapidline steel-frame table 1800 × 900 mm</w:t>
            </w:r>
          </w:p>
        </w:tc>
        <w:tc>
          <w:tcPr>
            <w:tcW w:type="dxa" w:w="2276"/>
            <w:vAlign w:val="top"/>
            <w:shd w:fill="EDF2EE"/>
          </w:tcPr>
          <w:p>
            <w:pPr>
              <w:pStyle w:val="TableText"/>
              <w:keepNext w:val="0"/>
              <w:keepLines/>
            </w:pPr>
            <w:r>
              <w:t>$292</w:t>
            </w:r>
          </w:p>
        </w:tc>
        <w:tc>
          <w:tcPr>
            <w:tcW w:type="dxa" w:w="3393"/>
            <w:vAlign w:val="top"/>
            <w:shd w:fill="EDF2EE"/>
          </w:tcPr>
          <w:p>
            <w:pPr>
              <w:pStyle w:val="TableText"/>
              <w:keepNext w:val="0"/>
              <w:keepLines/>
            </w:pPr>
            <w:r>
              <w:t>New.</w:t>
            </w:r>
          </w:p>
        </w:tc>
        <w:tc>
          <w:tcPr>
            <w:tcW w:type="dxa" w:w="1497"/>
            <w:vAlign w:val="top"/>
            <w:shd w:fill="EDF2EE"/>
          </w:tcPr>
          <w:p>
            <w:pPr>
              <w:pStyle w:val="TableText"/>
              <w:keepNext w:val="0"/>
              <w:keepLines/>
            </w:pPr>
            <w:hyperlink w:anchor="source_R113">
              <w:r>
                <w:rPr>
                  <w:color w:val="275E67"/>
                  <w:u w:val="single"/>
                </w:rPr>
                <w:t xml:space="preserve">R113</w:t>
              </w:r>
            </w:hyperlink>
          </w:p>
        </w:tc>
      </w:tr>
      <w:tr>
        <w:trPr>
          <w:cantSplit/>
        </w:trPr>
        <w:tc>
          <w:tcPr>
            <w:tcW w:type="dxa" w:w="2987"/>
            <w:vAlign w:val="top"/>
            <w:shd w:fill="FFFFFF"/>
          </w:tcPr>
          <w:p>
            <w:pPr>
              <w:pStyle w:val="TableText"/>
              <w:keepNext w:val="0"/>
              <w:keepLines/>
            </w:pPr>
            <w:r>
              <w:t>Metal-frame desk 1600 × 800 mm</w:t>
            </w:r>
          </w:p>
        </w:tc>
        <w:tc>
          <w:tcPr>
            <w:tcW w:type="dxa" w:w="2276"/>
            <w:vAlign w:val="top"/>
            <w:shd w:fill="FFFFFF"/>
          </w:tcPr>
          <w:p>
            <w:pPr>
              <w:pStyle w:val="TableText"/>
              <w:keepNext w:val="0"/>
              <w:keepLines/>
            </w:pPr>
            <w:r>
              <w:t>$150 including GST</w:t>
            </w:r>
          </w:p>
        </w:tc>
        <w:tc>
          <w:tcPr>
            <w:tcW w:type="dxa" w:w="3393"/>
            <w:vAlign w:val="top"/>
            <w:shd w:fill="FFFFFF"/>
          </w:tcPr>
          <w:p>
            <w:pPr>
              <w:pStyle w:val="TableText"/>
              <w:keepNext w:val="0"/>
              <w:keepLines/>
            </w:pPr>
            <w:r>
              <w:t>Used; supplier describes good condition.</w:t>
            </w:r>
          </w:p>
        </w:tc>
        <w:tc>
          <w:tcPr>
            <w:tcW w:type="dxa" w:w="1497"/>
            <w:vAlign w:val="top"/>
            <w:shd w:fill="FFFFFF"/>
          </w:tcPr>
          <w:p>
            <w:pPr>
              <w:pStyle w:val="TableText"/>
              <w:keepNext w:val="0"/>
              <w:keepLines/>
            </w:pPr>
            <w:hyperlink w:anchor="source_R114">
              <w:r>
                <w:rPr>
                  <w:color w:val="275E67"/>
                  <w:u w:val="single"/>
                </w:rPr>
                <w:t xml:space="preserve">R114</w:t>
              </w:r>
            </w:hyperlink>
          </w:p>
        </w:tc>
      </w:tr>
      <w:tr>
        <w:trPr>
          <w:cantSplit/>
        </w:trPr>
        <w:tc>
          <w:tcPr>
            <w:tcW w:type="dxa" w:w="2987"/>
            <w:vAlign w:val="top"/>
            <w:shd w:fill="EDF2EE"/>
          </w:tcPr>
          <w:p>
            <w:pPr>
              <w:pStyle w:val="TableText"/>
              <w:keepNext w:val="0"/>
              <w:keepLines/>
            </w:pPr>
            <w:r>
              <w:t>Cupboard 1600h × 900w × 430d mm</w:t>
            </w:r>
          </w:p>
        </w:tc>
        <w:tc>
          <w:tcPr>
            <w:tcW w:type="dxa" w:w="2276"/>
            <w:vAlign w:val="top"/>
            <w:shd w:fill="EDF2EE"/>
          </w:tcPr>
          <w:p>
            <w:pPr>
              <w:pStyle w:val="TableText"/>
              <w:keepNext w:val="0"/>
              <w:keepLines/>
            </w:pPr>
            <w:r>
              <w:t>$129 including GST</w:t>
            </w:r>
          </w:p>
        </w:tc>
        <w:tc>
          <w:tcPr>
            <w:tcW w:type="dxa" w:w="3393"/>
            <w:vAlign w:val="top"/>
            <w:shd w:fill="EDF2EE"/>
          </w:tcPr>
          <w:p>
            <w:pPr>
              <w:pStyle w:val="TableText"/>
              <w:keepNext w:val="0"/>
              <w:keepLines/>
            </w:pPr>
            <w:r>
              <w:t>Used.</w:t>
            </w:r>
          </w:p>
        </w:tc>
        <w:tc>
          <w:tcPr>
            <w:tcW w:type="dxa" w:w="1497"/>
            <w:vAlign w:val="top"/>
            <w:shd w:fill="EDF2EE"/>
          </w:tcPr>
          <w:p>
            <w:pPr>
              <w:pStyle w:val="TableText"/>
              <w:keepNext w:val="0"/>
              <w:keepLines/>
            </w:pPr>
            <w:hyperlink w:anchor="source_R114">
              <w:r>
                <w:rPr>
                  <w:color w:val="275E67"/>
                  <w:u w:val="single"/>
                </w:rPr>
                <w:t xml:space="preserve">R114</w:t>
              </w:r>
            </w:hyperlink>
          </w:p>
        </w:tc>
      </w:tr>
    </w:tbl>
    <w:p>
      <w:pPr>
        <w:spacing w:after="20" w:before="0" w:line="240" w:lineRule="auto"/>
      </w:pPr>
      <w:r>
        <w:rPr>
          <w:sz w:val="6"/>
        </w:rPr>
      </w:r>
    </w:p>
    <w:p>
      <w:pPr/>
      <w:r>
        <w:t>Compare delivered cost and condition. Used stock quantities, collection, cleaning, repairs, parts, warranty and remaining service life can change the comparison. The calculator leaves missing amounts blank.</w:t>
      </w:r>
    </w:p>
    <w:p>
      <w:pPr>
        <w:pStyle w:val="SourceNote"/>
      </w:pPr>
      <w:r>
        <w:t xml:space="preserve">Sources: </w:t>
      </w:r>
      <w:hyperlink w:anchor="source_R110">
        <w:r>
          <w:rPr>
            <w:color w:val="275E67"/>
            <w:u w:val="single"/>
          </w:rPr>
          <w:t xml:space="preserve">R110</w:t>
        </w:r>
      </w:hyperlink>
      <w:r>
        <w:t xml:space="preserve">, </w:t>
      </w:r>
      <w:hyperlink w:anchor="source_R111">
        <w:r>
          <w:rPr>
            <w:color w:val="275E67"/>
            <w:u w:val="single"/>
          </w:rPr>
          <w:t xml:space="preserve">R111</w:t>
        </w:r>
      </w:hyperlink>
      <w:r>
        <w:t xml:space="preserve">, </w:t>
      </w:r>
      <w:hyperlink w:anchor="source_R112">
        <w:r>
          <w:rPr>
            <w:color w:val="275E67"/>
            <w:u w:val="single"/>
          </w:rPr>
          <w:t xml:space="preserve">R112</w:t>
        </w:r>
      </w:hyperlink>
      <w:r>
        <w:t xml:space="preserve">, </w:t>
      </w:r>
      <w:hyperlink w:anchor="source_R113">
        <w:r>
          <w:rPr>
            <w:color w:val="275E67"/>
            <w:u w:val="single"/>
          </w:rPr>
          <w:t xml:space="preserve">R113</w:t>
        </w:r>
      </w:hyperlink>
      <w:r>
        <w:t xml:space="preserve">, </w:t>
      </w:r>
      <w:hyperlink w:anchor="source_R114">
        <w:r>
          <w:rPr>
            <w:color w:val="275E67"/>
            <w:u w:val="single"/>
          </w:rPr>
          <w:t xml:space="preserve">R114</w:t>
        </w:r>
      </w:hyperlink>
    </w:p>
    <w:p>
      <w:pPr>
        <w:pStyle w:val="SourceNote"/>
      </w:pPr>
      <w:hyperlink r:id="rId16">
        <w:r>
          <w:rPr>
            <w:color w:val="275E67"/>
            <w:u w:val="single"/>
          </w:rPr>
          <w:t xml:space="preserve">Change inputs in the online calculator</w:t>
        </w:r>
      </w:hyperlink>
    </w:p>
    <w:p>
      <w:bookmarkStart w:id="23" w:name="s_economics_Labour_and_installa_9feae4"/>
      <w:pPr>
        <w:pStyle w:val="Heading2"/>
      </w:pPr>
      <w:r>
        <w:t>Labour and installation rates</w:t>
      </w:r>
      <w:bookmarkEnd w:id="23"/>
    </w:p>
    <w:p>
      <w:pPr>
        <w:pStyle w:val="SourceNote"/>
        <w:keepNext/>
      </w:pPr>
      <w:r>
        <w:t>Checked 30 Oct 2026 · Indicative provider rates</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3914"/>
        <w:gridCol w:w="3470"/>
        <w:gridCol w:w="2768"/>
      </w:tblGrid>
      <w:tr>
        <w:trPr>
          <w:cantSplit/>
          <w:tblHeader w:val="true"/>
        </w:trPr>
        <w:tc>
          <w:tcPr>
            <w:tcW w:type="dxa" w:w="3914"/>
            <w:vAlign w:val="center"/>
            <w:shd w:fill="203B4C"/>
          </w:tcPr>
          <w:p>
            <w:pPr>
              <w:pStyle w:val="TableHead"/>
              <w:keepNext/>
              <w:keepLines/>
            </w:pPr>
            <w:r>
              <w:rPr>
                <w:color w:val="FFFFFF"/>
              </w:rPr>
              <w:t>Source</w:t>
            </w:r>
          </w:p>
        </w:tc>
        <w:tc>
          <w:tcPr>
            <w:tcW w:type="dxa" w:w="3470"/>
            <w:vAlign w:val="center"/>
            <w:shd w:fill="203B4C"/>
          </w:tcPr>
          <w:p>
            <w:pPr>
              <w:pStyle w:val="TableHead"/>
              <w:keepNext/>
              <w:keepLines/>
            </w:pPr>
            <w:r>
              <w:rPr>
                <w:color w:val="FFFFFF"/>
              </w:rPr>
              <w:t>Published charge basis</w:t>
            </w:r>
          </w:p>
        </w:tc>
        <w:tc>
          <w:tcPr>
            <w:tcW w:type="dxa" w:w="2768"/>
            <w:vAlign w:val="center"/>
            <w:shd w:fill="203B4C"/>
          </w:tcPr>
          <w:p>
            <w:pPr>
              <w:pStyle w:val="TableHead"/>
              <w:keepNext/>
              <w:keepLines/>
            </w:pPr>
            <w:r>
              <w:rPr>
                <w:color w:val="FFFFFF"/>
              </w:rPr>
              <w:t>GST basis</w:t>
            </w:r>
          </w:p>
        </w:tc>
      </w:tr>
      <w:tr>
        <w:trPr>
          <w:cantSplit/>
        </w:trPr>
        <w:tc>
          <w:tcPr>
            <w:tcW w:type="dxa" w:w="3914"/>
            <w:vAlign w:val="top"/>
            <w:shd w:fill="EDF2EE"/>
          </w:tcPr>
          <w:p>
            <w:pPr>
              <w:pStyle w:val="TableText"/>
              <w:keepNext w:val="0"/>
              <w:keepLines/>
            </w:pPr>
            <w:r>
              <w:t>Dash general labour</w:t>
            </w:r>
          </w:p>
        </w:tc>
        <w:tc>
          <w:tcPr>
            <w:tcW w:type="dxa" w:w="3470"/>
            <w:vAlign w:val="top"/>
            <w:shd w:fill="EDF2EE"/>
          </w:tcPr>
          <w:p>
            <w:pPr>
              <w:pStyle w:val="TableText"/>
              <w:keepNext w:val="0"/>
              <w:keepLines/>
            </w:pPr>
            <w:r>
              <w:t>$55 to $60 per hour</w:t>
            </w:r>
          </w:p>
        </w:tc>
        <w:tc>
          <w:tcPr>
            <w:tcW w:type="dxa" w:w="2768"/>
            <w:vAlign w:val="top"/>
            <w:shd w:fill="EDF2EE"/>
          </w:tcPr>
          <w:p>
            <w:pPr>
              <w:pStyle w:val="TableText"/>
              <w:keepNext w:val="0"/>
              <w:keepLines/>
            </w:pPr>
            <w:r>
              <w:t>Excluding GST.</w:t>
            </w:r>
          </w:p>
        </w:tc>
      </w:tr>
      <w:tr>
        <w:trPr>
          <w:cantSplit/>
        </w:trPr>
        <w:tc>
          <w:tcPr>
            <w:tcW w:type="dxa" w:w="3914"/>
            <w:vAlign w:val="top"/>
            <w:shd w:fill="FFFFFF"/>
          </w:tcPr>
          <w:p>
            <w:pPr>
              <w:pStyle w:val="TableText"/>
              <w:keepNext w:val="0"/>
              <w:keepLines/>
            </w:pPr>
            <w:r>
              <w:t>Dash carpentry</w:t>
            </w:r>
          </w:p>
        </w:tc>
        <w:tc>
          <w:tcPr>
            <w:tcW w:type="dxa" w:w="3470"/>
            <w:vAlign w:val="top"/>
            <w:shd w:fill="FFFFFF"/>
          </w:tcPr>
          <w:p>
            <w:pPr>
              <w:pStyle w:val="TableText"/>
              <w:keepNext w:val="0"/>
              <w:keepLines/>
            </w:pPr>
            <w:r>
              <w:t>$75 to $85 per hour</w:t>
            </w:r>
          </w:p>
        </w:tc>
        <w:tc>
          <w:tcPr>
            <w:tcW w:type="dxa" w:w="2768"/>
            <w:vAlign w:val="top"/>
            <w:shd w:fill="FFFFFF"/>
          </w:tcPr>
          <w:p>
            <w:pPr>
              <w:pStyle w:val="TableText"/>
              <w:keepNext w:val="0"/>
              <w:keepLines/>
            </w:pPr>
            <w:r>
              <w:t>Excluding GST.</w:t>
            </w:r>
          </w:p>
        </w:tc>
      </w:tr>
      <w:tr>
        <w:trPr>
          <w:cantSplit/>
        </w:trPr>
        <w:tc>
          <w:tcPr>
            <w:tcW w:type="dxa" w:w="3914"/>
            <w:vAlign w:val="top"/>
            <w:shd w:fill="EDF2EE"/>
          </w:tcPr>
          <w:p>
            <w:pPr>
              <w:pStyle w:val="TableText"/>
              <w:keepNext w:val="0"/>
              <w:keepLines/>
            </w:pPr>
            <w:r>
              <w:t>Dash shopfitting and joinery</w:t>
            </w:r>
          </w:p>
        </w:tc>
        <w:tc>
          <w:tcPr>
            <w:tcW w:type="dxa" w:w="3470"/>
            <w:vAlign w:val="top"/>
            <w:shd w:fill="EDF2EE"/>
          </w:tcPr>
          <w:p>
            <w:pPr>
              <w:pStyle w:val="TableText"/>
              <w:keepNext w:val="0"/>
              <w:keepLines/>
            </w:pPr>
            <w:r>
              <w:t>$65 to $85 per hour</w:t>
            </w:r>
          </w:p>
        </w:tc>
        <w:tc>
          <w:tcPr>
            <w:tcW w:type="dxa" w:w="2768"/>
            <w:vAlign w:val="top"/>
            <w:shd w:fill="EDF2EE"/>
          </w:tcPr>
          <w:p>
            <w:pPr>
              <w:pStyle w:val="TableText"/>
              <w:keepNext w:val="0"/>
              <w:keepLines/>
            </w:pPr>
            <w:r>
              <w:t>Excluding GST.</w:t>
            </w:r>
          </w:p>
        </w:tc>
      </w:tr>
      <w:tr>
        <w:trPr>
          <w:cantSplit/>
        </w:trPr>
        <w:tc>
          <w:tcPr>
            <w:tcW w:type="dxa" w:w="3914"/>
            <w:vAlign w:val="top"/>
            <w:shd w:fill="FFFFFF"/>
          </w:tcPr>
          <w:p>
            <w:pPr>
              <w:pStyle w:val="TableText"/>
              <w:keepNext w:val="0"/>
              <w:keepLines/>
            </w:pPr>
            <w:r>
              <w:t>Voltora business-hours attendance</w:t>
            </w:r>
          </w:p>
        </w:tc>
        <w:tc>
          <w:tcPr>
            <w:tcW w:type="dxa" w:w="3470"/>
            <w:vAlign w:val="top"/>
            <w:shd w:fill="FFFFFF"/>
          </w:tcPr>
          <w:p>
            <w:pPr>
              <w:pStyle w:val="TableText"/>
              <w:keepNext w:val="0"/>
              <w:keepLines/>
            </w:pPr>
            <w:r>
              <w:t>$258.50 call-out and first hour; $148.50 each additional hour</w:t>
            </w:r>
          </w:p>
        </w:tc>
        <w:tc>
          <w:tcPr>
            <w:tcW w:type="dxa" w:w="2768"/>
            <w:vAlign w:val="top"/>
            <w:shd w:fill="FFFFFF"/>
          </w:tcPr>
          <w:p>
            <w:pPr>
              <w:pStyle w:val="TableText"/>
              <w:keepNext w:val="0"/>
              <w:keepLines/>
            </w:pPr>
            <w:r>
              <w:t>Including GST; materials extra.</w:t>
            </w:r>
          </w:p>
        </w:tc>
      </w:tr>
    </w:tbl>
    <w:p>
      <w:pPr>
        <w:spacing w:after="20" w:before="0" w:line="240" w:lineRule="auto"/>
      </w:pPr>
      <w:r>
        <w:rPr>
          <w:sz w:val="6"/>
        </w:rPr>
      </w:r>
    </w:p>
    <w:p>
      <w:pPr/>
      <w:r>
        <w:rPr>
          <w:b/>
        </w:rPr>
        <w:t>Work package = person-hours × charge rate + materials + attendance and travel charges.</w:t>
      </w:r>
      <w:r>
        <w:t xml:space="preserve"> Person-hours count each worker. Voltora's first hour already includes attendance; it must not be charged twice. Labour-hire charge rates already include the provider's employment costs.</w:t>
      </w:r>
    </w:p>
    <w:p>
      <w:pPr/>
      <w:r>
        <w:t>Building works, acoustics, HVAC, controls, creative work, testing, training and commissioning need scoped quantities.</w:t>
      </w:r>
    </w:p>
    <w:p>
      <w:pPr>
        <w:pStyle w:val="SourceNote"/>
      </w:pPr>
      <w:r>
        <w:t xml:space="preserve">Sources: </w:t>
      </w:r>
      <w:hyperlink w:anchor="source_R104">
        <w:r>
          <w:rPr>
            <w:color w:val="275E67"/>
            <w:u w:val="single"/>
          </w:rPr>
          <w:t xml:space="preserve">R104</w:t>
        </w:r>
      </w:hyperlink>
      <w:r>
        <w:t xml:space="preserve">, </w:t>
      </w:r>
      <w:hyperlink w:anchor="source_R105">
        <w:r>
          <w:rPr>
            <w:color w:val="275E67"/>
            <w:u w:val="single"/>
          </w:rPr>
          <w:t xml:space="preserve">R105</w:t>
        </w:r>
      </w:hyperlink>
    </w:p>
    <w:p>
      <w:pPr>
        <w:pStyle w:val="SourceNote"/>
      </w:pPr>
      <w:hyperlink r:id="rId17">
        <w:r>
          <w:rPr>
            <w:color w:val="275E67"/>
            <w:u w:val="single"/>
          </w:rPr>
          <w:t xml:space="preserve">Change inputs in the online calculator</w:t>
        </w:r>
      </w:hyperlink>
    </w:p>
    <w:p>
      <w:bookmarkStart w:id="24" w:name="s_economics_Room_packages_and_p_6664c6"/>
      <w:pPr>
        <w:pStyle w:val="Heading2"/>
      </w:pPr>
      <w:r>
        <w:t>Room packages and premises</w:t>
      </w:r>
      <w:bookmarkEnd w:id="24"/>
    </w:p>
    <w:p>
      <w:pPr>
        <w:pStyle w:val="SourceNote"/>
        <w:keepNext/>
      </w:pPr>
      <w:r>
        <w:t>Checked 30 Oct 2026</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2653"/>
        <w:gridCol w:w="2540"/>
        <w:gridCol w:w="2137"/>
        <w:gridCol w:w="2821"/>
      </w:tblGrid>
      <w:tr>
        <w:trPr>
          <w:cantSplit/>
          <w:tblHeader w:val="true"/>
        </w:trPr>
        <w:tc>
          <w:tcPr>
            <w:tcW w:type="dxa" w:w="2653"/>
            <w:vAlign w:val="center"/>
            <w:shd w:fill="203B4C"/>
          </w:tcPr>
          <w:p>
            <w:pPr>
              <w:pStyle w:val="TableHead"/>
              <w:keepNext/>
              <w:keepLines/>
            </w:pPr>
            <w:r>
              <w:rPr>
                <w:color w:val="FFFFFF"/>
              </w:rPr>
              <w:t>Supplier room</w:t>
            </w:r>
          </w:p>
        </w:tc>
        <w:tc>
          <w:tcPr>
            <w:tcW w:type="dxa" w:w="2540"/>
            <w:vAlign w:val="center"/>
            <w:shd w:fill="203B4C"/>
          </w:tcPr>
          <w:p>
            <w:pPr>
              <w:pStyle w:val="TableHead"/>
              <w:keepNext/>
              <w:keepLines/>
            </w:pPr>
            <w:r>
              <w:rPr>
                <w:color w:val="FFFFFF"/>
              </w:rPr>
              <w:t>Game area</w:t>
            </w:r>
          </w:p>
        </w:tc>
        <w:tc>
          <w:tcPr>
            <w:tcW w:type="dxa" w:w="2137"/>
            <w:vAlign w:val="center"/>
            <w:shd w:fill="203B4C"/>
          </w:tcPr>
          <w:p>
            <w:pPr>
              <w:pStyle w:val="TableHead"/>
              <w:keepNext/>
              <w:keepLines/>
            </w:pPr>
            <w:r>
              <w:rPr>
                <w:color w:val="FFFFFF"/>
              </w:rPr>
              <w:t>Players</w:t>
            </w:r>
          </w:p>
        </w:tc>
        <w:tc>
          <w:tcPr>
            <w:tcW w:type="dxa" w:w="2821"/>
            <w:vAlign w:val="center"/>
            <w:shd w:fill="203B4C"/>
          </w:tcPr>
          <w:p>
            <w:pPr>
              <w:pStyle w:val="TableHead"/>
              <w:keepNext/>
              <w:keepLines/>
              <w:jc w:val="center"/>
            </w:pPr>
            <w:r>
              <w:rPr>
                <w:color w:val="FFFFFF"/>
              </w:rPr>
              <w:t>Advertised package AUD</w:t>
            </w:r>
          </w:p>
        </w:tc>
      </w:tr>
      <w:tr>
        <w:trPr>
          <w:cantSplit/>
        </w:trPr>
        <w:tc>
          <w:tcPr>
            <w:tcW w:type="dxa" w:w="2653"/>
            <w:vAlign w:val="top"/>
            <w:shd w:fill="EDF2EE"/>
          </w:tcPr>
          <w:p>
            <w:pPr>
              <w:pStyle w:val="TableText"/>
              <w:keepNext w:val="0"/>
              <w:keepLines/>
            </w:pPr>
            <w:r>
              <w:t>Jungle</w:t>
            </w:r>
          </w:p>
        </w:tc>
        <w:tc>
          <w:tcPr>
            <w:tcW w:type="dxa" w:w="2540"/>
            <w:vAlign w:val="top"/>
            <w:shd w:fill="EDF2EE"/>
          </w:tcPr>
          <w:p>
            <w:pPr>
              <w:pStyle w:val="TableText"/>
              <w:keepNext w:val="0"/>
              <w:keepLines/>
            </w:pPr>
            <w:r>
              <w:t>30 to 50 m²</w:t>
            </w:r>
          </w:p>
        </w:tc>
        <w:tc>
          <w:tcPr>
            <w:tcW w:type="dxa" w:w="2137"/>
            <w:vAlign w:val="top"/>
            <w:shd w:fill="EDF2EE"/>
          </w:tcPr>
          <w:p>
            <w:pPr>
              <w:pStyle w:val="TableText"/>
              <w:keepNext w:val="0"/>
              <w:keepLines/>
            </w:pPr>
            <w:r>
              <w:t>2 to 8</w:t>
            </w:r>
          </w:p>
        </w:tc>
        <w:tc>
          <w:tcPr>
            <w:tcW w:type="dxa" w:w="2821"/>
            <w:vAlign w:val="center"/>
            <w:shd w:fill="EDF2EE"/>
          </w:tcPr>
          <w:p>
            <w:pPr>
              <w:pStyle w:val="TableText"/>
              <w:keepNext w:val="0"/>
              <w:keepLines/>
              <w:jc w:val="center"/>
            </w:pPr>
            <w:r>
              <w:t>$42,500</w:t>
            </w:r>
          </w:p>
        </w:tc>
      </w:tr>
      <w:tr>
        <w:trPr>
          <w:cantSplit/>
        </w:trPr>
        <w:tc>
          <w:tcPr>
            <w:tcW w:type="dxa" w:w="2653"/>
            <w:vAlign w:val="top"/>
            <w:shd w:fill="FFFFFF"/>
          </w:tcPr>
          <w:p>
            <w:pPr>
              <w:pStyle w:val="TableText"/>
              <w:keepNext w:val="0"/>
              <w:keepLines/>
            </w:pPr>
            <w:r>
              <w:t>Magic School</w:t>
            </w:r>
          </w:p>
        </w:tc>
        <w:tc>
          <w:tcPr>
            <w:tcW w:type="dxa" w:w="2540"/>
            <w:vAlign w:val="top"/>
            <w:shd w:fill="FFFFFF"/>
          </w:tcPr>
          <w:p>
            <w:pPr>
              <w:pStyle w:val="TableText"/>
              <w:keepNext w:val="0"/>
              <w:keepLines/>
            </w:pPr>
            <w:r>
              <w:t>30 to 50 m²</w:t>
            </w:r>
          </w:p>
        </w:tc>
        <w:tc>
          <w:tcPr>
            <w:tcW w:type="dxa" w:w="2137"/>
            <w:vAlign w:val="top"/>
            <w:shd w:fill="FFFFFF"/>
          </w:tcPr>
          <w:p>
            <w:pPr>
              <w:pStyle w:val="TableText"/>
              <w:keepNext w:val="0"/>
              <w:keepLines/>
            </w:pPr>
            <w:r>
              <w:t>2 to 6</w:t>
            </w:r>
          </w:p>
        </w:tc>
        <w:tc>
          <w:tcPr>
            <w:tcW w:type="dxa" w:w="2821"/>
            <w:vAlign w:val="center"/>
            <w:shd w:fill="FFFFFF"/>
          </w:tcPr>
          <w:p>
            <w:pPr>
              <w:pStyle w:val="TableText"/>
              <w:keepNext w:val="0"/>
              <w:keepLines/>
              <w:jc w:val="center"/>
            </w:pPr>
            <w:r>
              <w:t>$89,900</w:t>
            </w:r>
          </w:p>
        </w:tc>
      </w:tr>
      <w:tr>
        <w:trPr>
          <w:cantSplit/>
        </w:trPr>
        <w:tc>
          <w:tcPr>
            <w:tcW w:type="dxa" w:w="2653"/>
            <w:vAlign w:val="top"/>
            <w:shd w:fill="EDF2EE"/>
          </w:tcPr>
          <w:p>
            <w:pPr>
              <w:pStyle w:val="TableText"/>
              <w:keepNext w:val="0"/>
              <w:keepLines/>
            </w:pPr>
            <w:r>
              <w:t>Pharaoh</w:t>
            </w:r>
          </w:p>
        </w:tc>
        <w:tc>
          <w:tcPr>
            <w:tcW w:type="dxa" w:w="2540"/>
            <w:vAlign w:val="top"/>
            <w:shd w:fill="EDF2EE"/>
          </w:tcPr>
          <w:p>
            <w:pPr>
              <w:pStyle w:val="TableText"/>
              <w:keepNext w:val="0"/>
              <w:keepLines/>
            </w:pPr>
            <w:r>
              <w:t>30 to 70 m²</w:t>
            </w:r>
          </w:p>
        </w:tc>
        <w:tc>
          <w:tcPr>
            <w:tcW w:type="dxa" w:w="2137"/>
            <w:vAlign w:val="top"/>
            <w:shd w:fill="EDF2EE"/>
          </w:tcPr>
          <w:p>
            <w:pPr>
              <w:pStyle w:val="TableText"/>
              <w:keepNext w:val="0"/>
              <w:keepLines/>
            </w:pPr>
            <w:r>
              <w:t>2 to 6</w:t>
            </w:r>
          </w:p>
        </w:tc>
        <w:tc>
          <w:tcPr>
            <w:tcW w:type="dxa" w:w="2821"/>
            <w:vAlign w:val="center"/>
            <w:shd w:fill="EDF2EE"/>
          </w:tcPr>
          <w:p>
            <w:pPr>
              <w:pStyle w:val="TableText"/>
              <w:keepNext w:val="0"/>
              <w:keepLines/>
              <w:jc w:val="center"/>
            </w:pPr>
            <w:r>
              <w:t>$63,300</w:t>
            </w:r>
          </w:p>
        </w:tc>
      </w:tr>
      <w:tr>
        <w:trPr>
          <w:cantSplit/>
        </w:trPr>
        <w:tc>
          <w:tcPr>
            <w:tcW w:type="dxa" w:w="2653"/>
            <w:vAlign w:val="top"/>
            <w:shd w:fill="FFFFFF"/>
          </w:tcPr>
          <w:p>
            <w:pPr>
              <w:pStyle w:val="TableText"/>
              <w:keepNext w:val="0"/>
              <w:keepLines/>
            </w:pPr>
            <w:r>
              <w:t>Vault32</w:t>
            </w:r>
          </w:p>
        </w:tc>
        <w:tc>
          <w:tcPr>
            <w:tcW w:type="dxa" w:w="2540"/>
            <w:vAlign w:val="top"/>
            <w:shd w:fill="FFFFFF"/>
          </w:tcPr>
          <w:p>
            <w:pPr>
              <w:pStyle w:val="TableText"/>
              <w:keepNext w:val="0"/>
              <w:keepLines/>
            </w:pPr>
            <w:r>
              <w:t>40 to 80 m²</w:t>
            </w:r>
          </w:p>
        </w:tc>
        <w:tc>
          <w:tcPr>
            <w:tcW w:type="dxa" w:w="2137"/>
            <w:vAlign w:val="top"/>
            <w:shd w:fill="FFFFFF"/>
          </w:tcPr>
          <w:p>
            <w:pPr>
              <w:pStyle w:val="TableText"/>
              <w:keepNext w:val="0"/>
              <w:keepLines/>
            </w:pPr>
            <w:r>
              <w:t>2 to 10</w:t>
            </w:r>
          </w:p>
        </w:tc>
        <w:tc>
          <w:tcPr>
            <w:tcW w:type="dxa" w:w="2821"/>
            <w:vAlign w:val="center"/>
            <w:shd w:fill="FFFFFF"/>
          </w:tcPr>
          <w:p>
            <w:pPr>
              <w:pStyle w:val="TableText"/>
              <w:keepNext w:val="0"/>
              <w:keepLines/>
              <w:jc w:val="center"/>
            </w:pPr>
            <w:r>
              <w:t>$101,600</w:t>
            </w:r>
          </w:p>
        </w:tc>
      </w:tr>
    </w:tbl>
    <w:p>
      <w:pPr>
        <w:spacing w:after="20" w:before="0" w:line="240" w:lineRule="auto"/>
      </w:pPr>
      <w:r>
        <w:rPr>
          <w:sz w:val="6"/>
        </w:rPr>
      </w:r>
    </w:p>
    <w:p>
      <w:pPr/>
      <w:r>
        <w:t>Indestroom converts standard EUR configurations into advertised AUD benchmarks. Freight, tax, site works, customisation and installation boundaries need a fixed scope. Its standard package includes a hint system, so compatibility with independent play requires design work rather than an assumption.</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3178"/>
        <w:gridCol w:w="1458"/>
        <w:gridCol w:w="2090"/>
        <w:gridCol w:w="3426"/>
      </w:tblGrid>
      <w:tr>
        <w:trPr>
          <w:cantSplit/>
          <w:tblHeader w:val="true"/>
        </w:trPr>
        <w:tc>
          <w:tcPr>
            <w:tcW w:type="dxa" w:w="3178"/>
            <w:vAlign w:val="center"/>
            <w:shd w:fill="203B4C"/>
          </w:tcPr>
          <w:p>
            <w:pPr>
              <w:pStyle w:val="TableHead"/>
              <w:keepNext/>
              <w:keepLines/>
            </w:pPr>
            <w:r>
              <w:rPr>
                <w:color w:val="FFFFFF"/>
              </w:rPr>
              <w:t>Advertised property</w:t>
            </w:r>
          </w:p>
        </w:tc>
        <w:tc>
          <w:tcPr>
            <w:tcW w:type="dxa" w:w="1458"/>
            <w:vAlign w:val="center"/>
            <w:shd w:fill="203B4C"/>
          </w:tcPr>
          <w:p>
            <w:pPr>
              <w:pStyle w:val="TableHead"/>
              <w:keepNext/>
              <w:keepLines/>
            </w:pPr>
            <w:r>
              <w:rPr>
                <w:color w:val="FFFFFF"/>
              </w:rPr>
              <w:t>Area</w:t>
            </w:r>
          </w:p>
        </w:tc>
        <w:tc>
          <w:tcPr>
            <w:tcW w:type="dxa" w:w="2090"/>
            <w:vAlign w:val="center"/>
            <w:shd w:fill="203B4C"/>
          </w:tcPr>
          <w:p>
            <w:pPr>
              <w:pStyle w:val="TableHead"/>
              <w:keepNext/>
              <w:keepLines/>
            </w:pPr>
            <w:r>
              <w:rPr>
                <w:color w:val="FFFFFF"/>
              </w:rPr>
              <w:t>Asking rent</w:t>
            </w:r>
          </w:p>
        </w:tc>
        <w:tc>
          <w:tcPr>
            <w:tcW w:type="dxa" w:w="3426"/>
            <w:vAlign w:val="center"/>
            <w:shd w:fill="203B4C"/>
          </w:tcPr>
          <w:p>
            <w:pPr>
              <w:pStyle w:val="TableHead"/>
              <w:keepNext/>
              <w:keepLines/>
            </w:pPr>
            <w:r>
              <w:rPr>
                <w:color w:val="FFFFFF"/>
              </w:rPr>
              <w:t>Annualised rent excluding GST and outgoings</w:t>
            </w:r>
          </w:p>
        </w:tc>
      </w:tr>
      <w:tr>
        <w:trPr>
          <w:cantSplit/>
        </w:trPr>
        <w:tc>
          <w:tcPr>
            <w:tcW w:type="dxa" w:w="3178"/>
            <w:vAlign w:val="top"/>
            <w:shd w:fill="EDF2EE"/>
          </w:tcPr>
          <w:p>
            <w:pPr>
              <w:pStyle w:val="TableText"/>
              <w:keepNext w:val="0"/>
              <w:keepLines/>
            </w:pPr>
            <w:r>
              <w:t>Unit 7 / 338 Lytton Road, Morningside</w:t>
            </w:r>
          </w:p>
        </w:tc>
        <w:tc>
          <w:tcPr>
            <w:tcW w:type="dxa" w:w="1458"/>
            <w:vAlign w:val="top"/>
            <w:shd w:fill="EDF2EE"/>
          </w:tcPr>
          <w:p>
            <w:pPr>
              <w:pStyle w:val="TableText"/>
              <w:keepNext w:val="0"/>
              <w:keepLines/>
            </w:pPr>
            <w:r>
              <w:t>300 m²</w:t>
            </w:r>
          </w:p>
        </w:tc>
        <w:tc>
          <w:tcPr>
            <w:tcW w:type="dxa" w:w="2090"/>
            <w:vAlign w:val="top"/>
            <w:shd w:fill="EDF2EE"/>
          </w:tcPr>
          <w:p>
            <w:pPr>
              <w:pStyle w:val="TableText"/>
              <w:keepNext w:val="0"/>
              <w:keepLines/>
            </w:pPr>
            <w:r>
              <w:t>$6,750 per month</w:t>
            </w:r>
          </w:p>
        </w:tc>
        <w:tc>
          <w:tcPr>
            <w:tcW w:type="dxa" w:w="3426"/>
            <w:vAlign w:val="top"/>
            <w:shd w:fill="EDF2EE"/>
          </w:tcPr>
          <w:p>
            <w:pPr>
              <w:pStyle w:val="TableText"/>
              <w:keepNext w:val="0"/>
              <w:keepLines/>
            </w:pPr>
            <w:r>
              <w:t>$81,000; $270/m²/year</w:t>
            </w:r>
          </w:p>
        </w:tc>
      </w:tr>
      <w:tr>
        <w:trPr>
          <w:cantSplit/>
        </w:trPr>
        <w:tc>
          <w:tcPr>
            <w:tcW w:type="dxa" w:w="3178"/>
            <w:vAlign w:val="top"/>
            <w:shd w:fill="FFFFFF"/>
          </w:tcPr>
          <w:p>
            <w:pPr>
              <w:pStyle w:val="TableText"/>
              <w:keepNext w:val="0"/>
              <w:keepLines/>
            </w:pPr>
            <w:r>
              <w:t>4/65 Riverside Place, Morningside</w:t>
            </w:r>
          </w:p>
        </w:tc>
        <w:tc>
          <w:tcPr>
            <w:tcW w:type="dxa" w:w="1458"/>
            <w:vAlign w:val="top"/>
            <w:shd w:fill="FFFFFF"/>
          </w:tcPr>
          <w:p>
            <w:pPr>
              <w:pStyle w:val="TableText"/>
              <w:keepNext w:val="0"/>
              <w:keepLines/>
            </w:pPr>
            <w:r>
              <w:t>300 m²</w:t>
            </w:r>
          </w:p>
        </w:tc>
        <w:tc>
          <w:tcPr>
            <w:tcW w:type="dxa" w:w="2090"/>
            <w:vAlign w:val="top"/>
            <w:shd w:fill="FFFFFF"/>
          </w:tcPr>
          <w:p>
            <w:pPr>
              <w:pStyle w:val="TableText"/>
              <w:keepNext w:val="0"/>
              <w:keepLines/>
            </w:pPr>
            <w:r>
              <w:t>$78,000 per year</w:t>
            </w:r>
          </w:p>
        </w:tc>
        <w:tc>
          <w:tcPr>
            <w:tcW w:type="dxa" w:w="3426"/>
            <w:vAlign w:val="top"/>
            <w:shd w:fill="FFFFFF"/>
          </w:tcPr>
          <w:p>
            <w:pPr>
              <w:pStyle w:val="TableText"/>
              <w:keepNext w:val="0"/>
              <w:keepLines/>
            </w:pPr>
            <w:r>
              <w:t>$78,000; $260/m²/year</w:t>
            </w:r>
          </w:p>
        </w:tc>
      </w:tr>
    </w:tbl>
    <w:p>
      <w:pPr>
        <w:spacing w:after="20" w:before="0" w:line="240" w:lineRule="auto"/>
      </w:pPr>
      <w:r>
        <w:rPr>
          <w:sz w:val="6"/>
        </w:rPr>
      </w:r>
    </w:p>
    <w:p>
      <w:pPr/>
      <w:r>
        <w:t>These are different properties, not demonstrated escape-room premises. The Lytton listing describes a partial building with another upstairs tenant. Rent excludes outgoings and does not price access, approvals, fitout or make-good.</w:t>
      </w:r>
    </w:p>
    <w:p>
      <w:pPr>
        <w:pStyle w:val="SourceNote"/>
      </w:pPr>
      <w:r>
        <w:t xml:space="preserve">Sources: </w:t>
      </w:r>
      <w:hyperlink w:anchor="source_R117">
        <w:r>
          <w:rPr>
            <w:color w:val="275E67"/>
            <w:u w:val="single"/>
          </w:rPr>
          <w:t xml:space="preserve">R117</w:t>
        </w:r>
      </w:hyperlink>
      <w:r>
        <w:t xml:space="preserve">, </w:t>
      </w:r>
      <w:hyperlink w:anchor="source_R118">
        <w:r>
          <w:rPr>
            <w:color w:val="275E67"/>
            <w:u w:val="single"/>
          </w:rPr>
          <w:t xml:space="preserve">R118</w:t>
        </w:r>
      </w:hyperlink>
      <w:r>
        <w:t xml:space="preserve">, </w:t>
      </w:r>
      <w:hyperlink w:anchor="source_R119">
        <w:r>
          <w:rPr>
            <w:color w:val="275E67"/>
            <w:u w:val="single"/>
          </w:rPr>
          <w:t xml:space="preserve">R119</w:t>
        </w:r>
      </w:hyperlink>
    </w:p>
    <w:p>
      <w:bookmarkStart w:id="25" w:name="s_economics_Recording_and_AI_us_0146f9"/>
      <w:pPr>
        <w:pStyle w:val="Heading2"/>
      </w:pPr>
      <w:r>
        <w:t>Recording and AI usage costs</w:t>
      </w:r>
      <w:bookmarkEnd w:id="25"/>
    </w:p>
    <w:p>
      <w:pPr>
        <w:pStyle w:val="SourceNote"/>
        <w:keepNext/>
      </w:pPr>
      <w:r>
        <w:t>Checked 30 Oct 2026</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4180"/>
        <w:gridCol w:w="5972"/>
      </w:tblGrid>
      <w:tr>
        <w:trPr>
          <w:cantSplit/>
          <w:tblHeader w:val="true"/>
        </w:trPr>
        <w:tc>
          <w:tcPr>
            <w:tcW w:type="dxa" w:w="4180"/>
            <w:vAlign w:val="center"/>
            <w:shd w:fill="203B4C"/>
          </w:tcPr>
          <w:p>
            <w:pPr>
              <w:pStyle w:val="TableHead"/>
              <w:keepNext/>
              <w:keepLines/>
            </w:pPr>
            <w:r>
              <w:rPr>
                <w:color w:val="FFFFFF"/>
              </w:rPr>
              <w:t>Published service benchmark</w:t>
            </w:r>
          </w:p>
        </w:tc>
        <w:tc>
          <w:tcPr>
            <w:tcW w:type="dxa" w:w="5972"/>
            <w:vAlign w:val="center"/>
            <w:shd w:fill="203B4C"/>
          </w:tcPr>
          <w:p>
            <w:pPr>
              <w:pStyle w:val="TableHead"/>
              <w:keepNext/>
              <w:keepLines/>
            </w:pPr>
            <w:r>
              <w:rPr>
                <w:color w:val="FFFFFF"/>
              </w:rPr>
              <w:t>Unit price in USD</w:t>
            </w:r>
          </w:p>
        </w:tc>
      </w:tr>
      <w:tr>
        <w:trPr>
          <w:cantSplit/>
        </w:trPr>
        <w:tc>
          <w:tcPr>
            <w:tcW w:type="dxa" w:w="4180"/>
            <w:vAlign w:val="top"/>
            <w:shd w:fill="EDF2EE"/>
          </w:tcPr>
          <w:p>
            <w:pPr>
              <w:pStyle w:val="TableText"/>
              <w:keepNext w:val="0"/>
              <w:keepLines/>
            </w:pPr>
            <w:r>
              <w:t>gpt-transcribe recorded-file transcription</w:t>
            </w:r>
          </w:p>
        </w:tc>
        <w:tc>
          <w:tcPr>
            <w:tcW w:type="dxa" w:w="5972"/>
            <w:vAlign w:val="top"/>
            <w:shd w:fill="EDF2EE"/>
          </w:tcPr>
          <w:p>
            <w:pPr>
              <w:pStyle w:val="TableText"/>
              <w:keepNext w:val="0"/>
              <w:keepLines/>
            </w:pPr>
            <w:r>
              <w:t>Estimated $0.0045 per submitted audio minute</w:t>
            </w:r>
          </w:p>
        </w:tc>
      </w:tr>
      <w:tr>
        <w:trPr>
          <w:cantSplit/>
        </w:trPr>
        <w:tc>
          <w:tcPr>
            <w:tcW w:type="dxa" w:w="4180"/>
            <w:vAlign w:val="top"/>
            <w:shd w:fill="FFFFFF"/>
          </w:tcPr>
          <w:p>
            <w:pPr>
              <w:pStyle w:val="TableText"/>
              <w:keepNext w:val="0"/>
              <w:keepLines/>
            </w:pPr>
            <w:r>
              <w:t>gpt-live-transcribe live transcription</w:t>
            </w:r>
          </w:p>
        </w:tc>
        <w:tc>
          <w:tcPr>
            <w:tcW w:type="dxa" w:w="5972"/>
            <w:vAlign w:val="top"/>
            <w:shd w:fill="FFFFFF"/>
          </w:tcPr>
          <w:p>
            <w:pPr>
              <w:pStyle w:val="TableText"/>
              <w:keepNext w:val="0"/>
              <w:keepLines/>
            </w:pPr>
            <w:r>
              <w:t>$0.017 per minute</w:t>
            </w:r>
          </w:p>
        </w:tc>
      </w:tr>
      <w:tr>
        <w:trPr>
          <w:cantSplit/>
        </w:trPr>
        <w:tc>
          <w:tcPr>
            <w:tcW w:type="dxa" w:w="4180"/>
            <w:vAlign w:val="top"/>
            <w:shd w:fill="EDF2EE"/>
          </w:tcPr>
          <w:p>
            <w:pPr>
              <w:pStyle w:val="TableText"/>
              <w:keepNext w:val="0"/>
              <w:keepLines/>
            </w:pPr>
            <w:r>
              <w:t>gpt-6.1-sol Standard short-context uncached input</w:t>
            </w:r>
          </w:p>
        </w:tc>
        <w:tc>
          <w:tcPr>
            <w:tcW w:type="dxa" w:w="5972"/>
            <w:vAlign w:val="top"/>
            <w:shd w:fill="EDF2EE"/>
          </w:tcPr>
          <w:p>
            <w:pPr>
              <w:pStyle w:val="TableText"/>
              <w:keepNext w:val="0"/>
              <w:keepLines/>
            </w:pPr>
            <w:r>
              <w:t>$2 per million tokens</w:t>
            </w:r>
          </w:p>
        </w:tc>
      </w:tr>
      <w:tr>
        <w:trPr>
          <w:cantSplit/>
        </w:trPr>
        <w:tc>
          <w:tcPr>
            <w:tcW w:type="dxa" w:w="4180"/>
            <w:vAlign w:val="top"/>
            <w:shd w:fill="FFFFFF"/>
          </w:tcPr>
          <w:p>
            <w:pPr>
              <w:pStyle w:val="TableText"/>
              <w:keepNext w:val="0"/>
              <w:keepLines/>
            </w:pPr>
            <w:r>
              <w:t>Same model output</w:t>
            </w:r>
          </w:p>
        </w:tc>
        <w:tc>
          <w:tcPr>
            <w:tcW w:type="dxa" w:w="5972"/>
            <w:vAlign w:val="top"/>
            <w:shd w:fill="FFFFFF"/>
          </w:tcPr>
          <w:p>
            <w:pPr>
              <w:pStyle w:val="TableText"/>
              <w:keepNext w:val="0"/>
              <w:keepLines/>
            </w:pPr>
            <w:r>
              <w:t>$10 per million tokens</w:t>
            </w:r>
          </w:p>
        </w:tc>
      </w:tr>
    </w:tbl>
    <w:p>
      <w:pPr>
        <w:spacing w:after="20" w:before="0" w:line="240" w:lineRule="auto"/>
      </w:pPr>
      <w:r>
        <w:rPr>
          <w:sz w:val="6"/>
        </w:rPr>
      </w:r>
    </w:p>
    <w:p>
      <w:pPr/>
      <w:r>
        <w:t xml:space="preserve">These are rate comparisons. </w:t>
      </w:r>
      <w:r>
        <w:rPr>
          <w:b/>
        </w:rPr>
        <w:t>Submitted audio minutes = recorded sessions × recorded people per session × minutes submitted per person × submission count.</w:t>
      </w:r>
      <w:r>
        <w:t xml:space="preserve"> Full-length separate participant files each count; recording opt-outs reduce recorded headcount, while recorded teachers or facilitators add to it.</w:t>
      </w:r>
    </w:p>
    <w:p>
      <w:pPr/>
      <w:r>
        <w:rPr>
          <w:b/>
        </w:rPr>
        <w:t>Token cost = calls × (input tokens × input rate + billable output tokens × output rate) ÷ 1,000,000.</w:t>
      </w:r>
      <w:r>
        <w:t xml:space="preserve"> Add tools, storage, retries, hosting and paid human review. Standard short-context rates do not cover long-context, faster tiers or regional uplifts. The calculator keeps provider costs in USD until an AUD exchange rate and other invoice charges are supplied.</w:t>
      </w:r>
    </w:p>
    <w:p>
      <w:pPr>
        <w:pStyle w:val="SourceNote"/>
      </w:pPr>
      <w:r>
        <w:t xml:space="preserve">Sources: </w:t>
      </w:r>
      <w:hyperlink w:anchor="source_R121">
        <w:r>
          <w:rPr>
            <w:color w:val="275E67"/>
            <w:u w:val="single"/>
          </w:rPr>
          <w:t xml:space="preserve">R121</w:t>
        </w:r>
      </w:hyperlink>
      <w:r>
        <w:t xml:space="preserve">, </w:t>
      </w:r>
      <w:hyperlink w:anchor="source_R122">
        <w:r>
          <w:rPr>
            <w:color w:val="275E67"/>
            <w:u w:val="single"/>
          </w:rPr>
          <w:t xml:space="preserve">R122</w:t>
        </w:r>
      </w:hyperlink>
    </w:p>
    <w:p>
      <w:pPr>
        <w:pStyle w:val="SourceNote"/>
      </w:pPr>
      <w:hyperlink r:id="rId18">
        <w:r>
          <w:rPr>
            <w:color w:val="275E67"/>
            <w:u w:val="single"/>
          </w:rPr>
          <w:t xml:space="preserve">Change inputs in the online calculator</w:t>
        </w:r>
      </w:hyperlink>
    </w:p>
    <w:p>
      <w:bookmarkStart w:id="26" w:name="s_economics_Scope_still_unprice_af8696"/>
      <w:pPr>
        <w:pStyle w:val="Heading2"/>
      </w:pPr>
      <w:r>
        <w:t>Scope still unpriced</w:t>
      </w:r>
      <w:bookmarkEnd w:id="26"/>
    </w:p>
    <w:p>
      <w:pPr/>
      <w:r>
        <w:t>Premises and outgoings; building and acoustic design; approvals; partitions and finishes; ventilation; electrical/data materials; original room design and rights; landed kits; multi-room capture and monitoring; software implementation and storage; insurance and professional work; management and founder pay; full roster costs; consumables; utilities; distribution; freight and make-good; financing and specific risks.</w:t>
      </w:r>
    </w:p>
    <w:p>
      <w:pPr/>
      <w:r>
        <w:t xml:space="preserve">Each package needs quantities, tax basis, inclusions, exclusions and payment terms. The </w:t>
      </w:r>
      <w:hyperlink r:id="rId19">
        <w:r>
          <w:rPr>
            <w:color w:val="275E67"/>
            <w:u w:val="single"/>
          </w:rPr>
          <w:t xml:space="preserve">quote register</w:t>
        </w:r>
      </w:hyperlink>
      <w:r>
        <w:t xml:space="preserve"> retains these blanks. A supplier catalogue total cannot substitute for startup cash.</w:t>
      </w:r>
    </w:p>
    <w:p>
      <w:bookmarkStart w:id="27" w:name="chapter_finance"/>
      <w:pPr>
        <w:pStyle w:val="Heading1"/>
        <w:pageBreakBefore/>
      </w:pPr>
      <w:r>
        <w:t>Finance formulas and calculators</w:t>
      </w:r>
      <w:bookmarkEnd w:id="27"/>
    </w:p>
    <w:p>
      <w:pPr>
        <w:pStyle w:val="Lead"/>
      </w:pPr>
      <w:r>
        <w:t>Turnover, paid work, contribution and settlement using editable inputs.</w:t>
      </w:r>
    </w:p>
    <w:p>
      <w:bookmarkStart w:id="28" w:name="s_finance_Throughput_and_turnov_159b5f"/>
      <w:pPr>
        <w:pStyle w:val="Heading2"/>
      </w:pPr>
      <w:r>
        <w:t>Throughput and turnover formulas</w:t>
      </w:r>
      <w:bookmarkEnd w:id="28"/>
    </w:p>
    <w:p>
      <w:pPr/>
      <w:r>
        <w:rPr>
          <w:b/>
        </w:rPr>
        <w:t>Available sessions = rooms × locations × starts per room/day × trading days − blocked room-days × starts per room/day.</w:t>
      </w:r>
      <w:r>
        <w:t xml:space="preserve"> Blocked room-days count one closed room for one trading day across the whole comparison; closures already excluded from trading days are not deducted twice.</w:t>
      </w:r>
    </w:p>
    <w:p>
      <w:pPr/>
      <w:r>
        <w:rPr>
          <w:b/>
        </w:rPr>
        <w:t>Sold sessions = available sessions × sold share.</w:t>
      </w:r>
    </w:p>
    <w:p>
      <w:pPr/>
      <w:r>
        <w:rPr>
          <w:b/>
        </w:rPr>
        <w:t>Paid visits = sold sessions × average paying group size.</w:t>
      </w:r>
    </w:p>
    <w:p>
      <w:pPr/>
      <w:r>
        <w:rPr>
          <w:b/>
        </w:rPr>
        <w:t>Ticket receipts = paid visits × price per person.</w:t>
      </w:r>
    </w:p>
    <w:p>
      <w:pPr/>
      <w:r>
        <w:rPr>
          <w:b/>
        </w:rPr>
        <w:t>Sales excluding GST = taxable receipts ÷ (1 + GST rate).</w:t>
      </w:r>
    </w:p>
    <w:p>
      <w:pPr/>
      <w:r>
        <w:t xml:space="preserve">The </w:t>
      </w:r>
      <w:hyperlink r:id="rId12">
        <w:r>
          <w:rPr>
            <w:color w:val="275E67"/>
            <w:u w:val="single"/>
          </w:rPr>
          <w:t xml:space="preserve">summary calculator</w:t>
        </w:r>
      </w:hyperlink>
      <w:r>
        <w:t xml:space="preserve"> scales one room through multiple locations. Mixed products use the sum of each product's sold sessions × group size × price, rather than applying one average ticket to incompatible group tiers.</w:t>
      </w:r>
    </w:p>
    <w:p>
      <w:pPr>
        <w:pStyle w:val="SourceNote"/>
      </w:pPr>
      <w:r>
        <w:t xml:space="preserve">Sources: </w:t>
      </w:r>
      <w:hyperlink w:anchor="source_M18">
        <w:r>
          <w:rPr>
            <w:color w:val="275E67"/>
            <w:u w:val="single"/>
          </w:rPr>
          <w:t xml:space="preserve">M18</w:t>
        </w:r>
      </w:hyperlink>
    </w:p>
    <w:p>
      <w:bookmarkStart w:id="29" w:name="s_finance_Wages_and_paid_covera_9ae4df"/>
      <w:pPr>
        <w:pStyle w:val="Heading2"/>
      </w:pPr>
      <w:r>
        <w:t>Wages and paid coverage</w:t>
      </w:r>
      <w:bookmarkEnd w:id="29"/>
    </w:p>
    <w:p>
      <w:pPr>
        <w:pStyle w:val="SourceNote"/>
        <w:keepNext/>
      </w:pPr>
      <w:r>
        <w:t>Checked 30 Oct 2026</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4308"/>
        <w:gridCol w:w="3076"/>
        <w:gridCol w:w="2768"/>
      </w:tblGrid>
      <w:tr>
        <w:trPr>
          <w:cantSplit/>
          <w:tblHeader w:val="true"/>
        </w:trPr>
        <w:tc>
          <w:tcPr>
            <w:tcW w:type="dxa" w:w="4308"/>
            <w:vAlign w:val="center"/>
            <w:shd w:fill="203B4C"/>
          </w:tcPr>
          <w:p>
            <w:pPr>
              <w:pStyle w:val="TableHead"/>
              <w:keepNext/>
              <w:keepLines/>
            </w:pPr>
            <w:r>
              <w:rPr>
                <w:color w:val="FFFFFF"/>
              </w:rPr>
              <w:t>Adult casual benchmark</w:t>
            </w:r>
          </w:p>
        </w:tc>
        <w:tc>
          <w:tcPr>
            <w:tcW w:type="dxa" w:w="3076"/>
            <w:vAlign w:val="center"/>
            <w:shd w:fill="203B4C"/>
          </w:tcPr>
          <w:p>
            <w:pPr>
              <w:pStyle w:val="TableHead"/>
              <w:keepNext/>
              <w:keepLines/>
              <w:jc w:val="center"/>
            </w:pPr>
            <w:r>
              <w:rPr>
                <w:color w:val="FFFFFF"/>
              </w:rPr>
              <w:t>Ordinary hourly wage</w:t>
            </w:r>
          </w:p>
        </w:tc>
        <w:tc>
          <w:tcPr>
            <w:tcW w:type="dxa" w:w="2768"/>
            <w:vAlign w:val="center"/>
            <w:shd w:fill="203B4C"/>
          </w:tcPr>
          <w:p>
            <w:pPr>
              <w:pStyle w:val="TableHead"/>
              <w:keepNext/>
              <w:keepLines/>
              <w:jc w:val="center"/>
            </w:pPr>
            <w:r>
              <w:rPr>
                <w:color w:val="FFFFFF"/>
              </w:rPr>
              <w:t>Sunday hourly wage</w:t>
            </w:r>
          </w:p>
        </w:tc>
      </w:tr>
      <w:tr>
        <w:trPr>
          <w:cantSplit/>
        </w:trPr>
        <w:tc>
          <w:tcPr>
            <w:tcW w:type="dxa" w:w="4308"/>
            <w:vAlign w:val="top"/>
            <w:shd w:fill="EDF2EE"/>
          </w:tcPr>
          <w:p>
            <w:pPr>
              <w:pStyle w:val="TableText"/>
              <w:keepNext w:val="0"/>
              <w:keepLines/>
            </w:pPr>
            <w:r>
              <w:t>Award Grade 4</w:t>
            </w:r>
          </w:p>
        </w:tc>
        <w:tc>
          <w:tcPr>
            <w:tcW w:type="dxa" w:w="3076"/>
            <w:vAlign w:val="center"/>
            <w:shd w:fill="EDF2EE"/>
          </w:tcPr>
          <w:p>
            <w:pPr>
              <w:pStyle w:val="TableText"/>
              <w:keepNext w:val="0"/>
              <w:keepLines/>
              <w:jc w:val="center"/>
            </w:pPr>
            <w:r>
              <w:t>$36.81</w:t>
            </w:r>
          </w:p>
        </w:tc>
        <w:tc>
          <w:tcPr>
            <w:tcW w:type="dxa" w:w="2768"/>
            <w:vAlign w:val="center"/>
            <w:shd w:fill="EDF2EE"/>
          </w:tcPr>
          <w:p>
            <w:pPr>
              <w:pStyle w:val="TableText"/>
              <w:keepNext w:val="0"/>
              <w:keepLines/>
              <w:jc w:val="center"/>
            </w:pPr>
            <w:r>
              <w:t>$51.54</w:t>
            </w:r>
          </w:p>
        </w:tc>
      </w:tr>
      <w:tr>
        <w:trPr>
          <w:cantSplit/>
        </w:trPr>
        <w:tc>
          <w:tcPr>
            <w:tcW w:type="dxa" w:w="4308"/>
            <w:vAlign w:val="top"/>
            <w:shd w:fill="FFFFFF"/>
          </w:tcPr>
          <w:p>
            <w:pPr>
              <w:pStyle w:val="TableText"/>
              <w:keepNext w:val="0"/>
              <w:keepLines/>
            </w:pPr>
            <w:r>
              <w:t>Award Grade 6</w:t>
            </w:r>
          </w:p>
        </w:tc>
        <w:tc>
          <w:tcPr>
            <w:tcW w:type="dxa" w:w="3076"/>
            <w:vAlign w:val="center"/>
            <w:shd w:fill="FFFFFF"/>
          </w:tcPr>
          <w:p>
            <w:pPr>
              <w:pStyle w:val="TableText"/>
              <w:keepNext w:val="0"/>
              <w:keepLines/>
              <w:jc w:val="center"/>
            </w:pPr>
            <w:r>
              <w:t>$39.11</w:t>
            </w:r>
          </w:p>
        </w:tc>
        <w:tc>
          <w:tcPr>
            <w:tcW w:type="dxa" w:w="2768"/>
            <w:vAlign w:val="center"/>
            <w:shd w:fill="FFFFFF"/>
          </w:tcPr>
          <w:p>
            <w:pPr>
              <w:pStyle w:val="TableText"/>
              <w:keepNext w:val="0"/>
              <w:keepLines/>
              <w:jc w:val="center"/>
            </w:pPr>
            <w:r>
              <w:t>$54.76</w:t>
            </w:r>
          </w:p>
        </w:tc>
      </w:tr>
    </w:tbl>
    <w:p>
      <w:pPr>
        <w:spacing w:after="20" w:before="0" w:line="240" w:lineRule="auto"/>
      </w:pPr>
      <w:r>
        <w:rPr>
          <w:sz w:val="6"/>
        </w:rPr>
      </w:r>
    </w:p>
    <w:p>
      <w:pPr/>
      <w:r>
        <w:t>The Amusement, Events and Recreation Award supplies these comparison rates; coverage and classification depend on actual work. ATO's qualifying-earnings super rate is 12%. These are employee wages, separate from provider charge rates.</w:t>
      </w:r>
    </w:p>
    <w:p>
      <w:pPr/>
      <w:r>
        <w:rPr>
          <w:b/>
        </w:rPr>
        <w:t>Wages = sum of paid hours at each applicable rate.</w:t>
      </w:r>
      <w:r>
        <w:t xml:space="preserve"> Add super on eligible earnings, allowances and other employment costs. Paid hours include coverage, resets, recording preparation, review, reflection, workshops, breaks, training and management. Convert task minutes into feasible shifts before costing minimum engagements and overlapping demand.</w:t>
      </w:r>
    </w:p>
    <w:p>
      <w:pPr>
        <w:pStyle w:val="SourceNote"/>
      </w:pPr>
      <w:r>
        <w:t xml:space="preserve">Sources: </w:t>
      </w:r>
      <w:hyperlink w:anchor="source_R101">
        <w:r>
          <w:rPr>
            <w:color w:val="275E67"/>
            <w:u w:val="single"/>
          </w:rPr>
          <w:t xml:space="preserve">R101</w:t>
        </w:r>
      </w:hyperlink>
      <w:r>
        <w:t xml:space="preserve">, </w:t>
      </w:r>
      <w:hyperlink w:anchor="source_R125">
        <w:r>
          <w:rPr>
            <w:color w:val="275E67"/>
            <w:u w:val="single"/>
          </w:rPr>
          <w:t xml:space="preserve">R125</w:t>
        </w:r>
      </w:hyperlink>
    </w:p>
    <w:p>
      <w:bookmarkStart w:id="30" w:name="s_finance_Contribution_and_brea_c5b83e"/>
      <w:pPr>
        <w:pStyle w:val="Heading2"/>
      </w:pPr>
      <w:r>
        <w:t>Contribution and break even</w:t>
      </w:r>
      <w:bookmarkEnd w:id="30"/>
    </w:p>
    <w:p>
      <w:pPr>
        <w:pStyle w:val="SourceNote"/>
        <w:keepNext/>
      </w:pPr>
      <w:r>
        <w:t>Comparison calculator · All cost fields use AUD excluding recoverable GST</w:t>
      </w:r>
    </w:p>
    <w:p>
      <w:pPr/>
      <w:r>
        <w:rPr>
          <w:b/>
        </w:rPr>
        <w:t>Net card cost per team = processor cash fee less eligible GST credit.</w:t>
      </w:r>
      <w:r>
        <w:t xml:space="preserve"> The Stripe domestic online-card benchmark is 1.65% of payment plus $0.30, including GST. Calculate and round fees per payment, then aggregate. Individual participant payments incur more fixed charges than one group payment.</w:t>
      </w:r>
    </w:p>
    <w:p>
      <w:pPr/>
      <w:r>
        <w:rPr>
          <w:b/>
        </w:rPr>
        <w:t>Contribution per sold team = sales excluding GST − variable delivery cost − card cost.</w:t>
      </w:r>
    </w:p>
    <w:p>
      <w:pPr/>
      <w:r>
        <w:rPr>
          <w:b/>
        </w:rPr>
        <w:t>Operating balance before depreciation finance and income tax = sold teams × contribution − annual fixed costs − renewal provision.</w:t>
      </w:r>
    </w:p>
    <w:p>
      <w:pPr/>
      <w:r>
        <w:rPr>
          <w:b/>
        </w:rPr>
        <w:t>Break-even sold share = (annual fixed costs + renewal provision) ÷ (available sessions × contribution per sold team).</w:t>
      </w:r>
      <w:r>
        <w:t xml:space="preserve"> If contribution is zero or negative, sales cannot cover fixed costs under those inputs. Above 100% is beyond the entered capacity. Leave unpriced costs blank so the calculator withholds the balance.</w:t>
      </w:r>
    </w:p>
    <w:p>
      <w:pPr>
        <w:pStyle w:val="SourceNote"/>
      </w:pPr>
      <w:r>
        <w:t xml:space="preserve">Sources: </w:t>
      </w:r>
      <w:hyperlink w:anchor="source_R103">
        <w:r>
          <w:rPr>
            <w:color w:val="275E67"/>
            <w:u w:val="single"/>
          </w:rPr>
          <w:t xml:space="preserve">R103</w:t>
        </w:r>
      </w:hyperlink>
    </w:p>
    <w:p>
      <w:pPr>
        <w:pStyle w:val="SourceNote"/>
      </w:pPr>
      <w:hyperlink r:id="rId20">
        <w:r>
          <w:rPr>
            <w:color w:val="275E67"/>
            <w:u w:val="single"/>
          </w:rPr>
          <w:t xml:space="preserve">Change inputs in the online calculator</w:t>
        </w:r>
      </w:hyperlink>
    </w:p>
    <w:p>
      <w:bookmarkStart w:id="31" w:name="s_finance_Pass_settlement_2a4b1d"/>
      <w:pPr>
        <w:pStyle w:val="Heading2"/>
      </w:pPr>
      <w:r>
        <w:t>Pass settlement</w:t>
      </w:r>
      <w:bookmarkEnd w:id="31"/>
    </w:p>
    <w:p>
      <w:pPr/>
      <w:r>
        <w:rPr>
          <w:b/>
        </w:rPr>
        <w:t>Venue allocations = passes × visits per pass × agreed amount per visit.</w:t>
      </w:r>
    </w:p>
    <w:p>
      <w:pPr/>
      <w:r>
        <w:rPr>
          <w:b/>
        </w:rPr>
        <w:t>Service component = customer payment − venue allocations.</w:t>
      </w:r>
    </w:p>
    <w:p>
      <w:pPr/>
      <w:r>
        <w:rPr>
          <w:b/>
        </w:rPr>
        <w:t>Service amount after processing = service component excluding GST − processor cost excluding eligible GST credit.</w:t>
      </w:r>
    </w:p>
    <w:p>
      <w:pPr/>
      <w:r>
        <w:t>The calculator prices a transaction using editable pass and allocation inputs. It rounds the processor's cash charge to cents. It also checks allocations against receipts. Redemptions, refunds, commissions, support and undelivered entitlements remain separate from the transaction calculation.</w:t>
      </w:r>
    </w:p>
    <w:p>
      <w:pPr>
        <w:pStyle w:val="SourceNote"/>
      </w:pPr>
      <w:r>
        <w:t xml:space="preserve">Sources: </w:t>
      </w:r>
      <w:hyperlink w:anchor="source_R103">
        <w:r>
          <w:rPr>
            <w:color w:val="275E67"/>
            <w:u w:val="single"/>
          </w:rPr>
          <w:t xml:space="preserve">R103</w:t>
        </w:r>
      </w:hyperlink>
    </w:p>
    <w:p>
      <w:pPr>
        <w:pStyle w:val="SourceNote"/>
      </w:pPr>
      <w:hyperlink r:id="rId21">
        <w:r>
          <w:rPr>
            <w:color w:val="275E67"/>
            <w:u w:val="single"/>
          </w:rPr>
          <w:t xml:space="preserve">Change inputs in the online calculator</w:t>
        </w:r>
      </w:hyperlink>
    </w:p>
    <w:p>
      <w:bookmarkStart w:id="32" w:name="s_finance_Revenue_ownership_and_cd23b6"/>
      <w:pPr>
        <w:pStyle w:val="Heading2"/>
      </w:pPr>
      <w:r>
        <w:t>Revenue ownership and cash</w:t>
      </w:r>
      <w:bookmarkEnd w:id="32"/>
    </w:p>
    <w:p>
      <w:pPr/>
      <w:r>
        <w:t>Local admissions, deployment contracts and network fees are separate revenue streams. Venue allocations collected through a pass are tracked for settlement under the actual contract; related-entity consolidation eliminates internal transfers.</w:t>
      </w:r>
    </w:p>
    <w:p>
      <w:pPr/>
      <w:r>
        <w:rPr>
          <w:b/>
        </w:rPr>
        <w:t>Startup cash = capital and pre-opening payments + deposits + cash-flow trough + specific risk amounts − committed funding.</w:t>
      </w:r>
      <w:r>
        <w:t xml:space="preserve"> Sequence supplier milestones, payroll, tax, customer receipts, partner settlements and refunds. Unconfirmed grants and expressions of interest are not available cash.</w:t>
      </w:r>
    </w:p>
    <w:p>
      <w:pPr/>
      <w:r>
        <w:t>Funding comparisons can include founder capital, host contributions, debt, member capital and negotiated investment. Define ownership, return and any local acquisition terms. C-Hour remains non-monetary and does not reduce the paid-work budget.</w:t>
      </w:r>
    </w:p>
    <w:p>
      <w:pPr>
        <w:pStyle w:val="SourceNote"/>
      </w:pPr>
      <w:r>
        <w:t xml:space="preserve">Sources: </w:t>
      </w:r>
      <w:hyperlink w:anchor="source_D15">
        <w:r>
          <w:rPr>
            <w:color w:val="275E67"/>
            <w:u w:val="single"/>
          </w:rPr>
          <w:t xml:space="preserve">D15</w:t>
        </w:r>
      </w:hyperlink>
      <w:r>
        <w:t xml:space="preserve">, </w:t>
      </w:r>
      <w:hyperlink w:anchor="source_P09">
        <w:r>
          <w:rPr>
            <w:color w:val="275E67"/>
            <w:u w:val="single"/>
          </w:rPr>
          <w:t xml:space="preserve">P09</w:t>
        </w:r>
      </w:hyperlink>
    </w:p>
    <w:p>
      <w:bookmarkStart w:id="33" w:name="chapter_learning"/>
      <w:pPr>
        <w:pStyle w:val="Heading1"/>
        <w:pageBreakBefore/>
      </w:pPr>
      <w:r>
        <w:t>Language teamwork and skill transfer</w:t>
      </w:r>
      <w:bookmarkEnd w:id="33"/>
    </w:p>
    <w:p>
      <w:pPr>
        <w:pStyle w:val="Lead"/>
      </w:pPr>
      <w:r>
        <w:t>Recorded exchanges, participant interpretation and practice in a new setting.</w:t>
      </w:r>
    </w:p>
    <w:p>
      <w:bookmarkStart w:id="34" w:name="s_learning_Context_and_repair_86cfb9"/>
      <w:pPr>
        <w:pStyle w:val="Heading2"/>
      </w:pPr>
      <w:r>
        <w:t>Context and repair</w:t>
      </w:r>
      <w:bookmarkEnd w:id="34"/>
    </w:p>
    <w:p>
      <w:pPr/>
      <w:r>
        <w:t>Recorded play gives a shared event to examine after the game. Review words alongside surrounding turns, task state and participant accounts. Computational analysis can identify candidate moments; people check attribution and meaning.</w:t>
      </w:r>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2598"/>
        <w:gridCol w:w="3330"/>
        <w:gridCol w:w="4224"/>
      </w:tblGrid>
      <w:tr>
        <w:trPr>
          <w:cantSplit/>
          <w:tblHeader w:val="true"/>
        </w:trPr>
        <w:tc>
          <w:tcPr>
            <w:tcW w:type="dxa" w:w="2598"/>
            <w:vAlign w:val="center"/>
            <w:shd w:fill="203B4C"/>
          </w:tcPr>
          <w:p>
            <w:pPr>
              <w:pStyle w:val="TableHead"/>
              <w:keepNext/>
              <w:keepLines/>
            </w:pPr>
            <w:r>
              <w:rPr>
                <w:color w:val="FFFFFF"/>
              </w:rPr>
              <w:t>Pattern</w:t>
            </w:r>
          </w:p>
        </w:tc>
        <w:tc>
          <w:tcPr>
            <w:tcW w:type="dxa" w:w="3330"/>
            <w:vAlign w:val="center"/>
            <w:shd w:fill="203B4C"/>
          </w:tcPr>
          <w:p>
            <w:pPr>
              <w:pStyle w:val="TableHead"/>
              <w:keepNext/>
              <w:keepLines/>
            </w:pPr>
            <w:r>
              <w:rPr>
                <w:color w:val="FFFFFF"/>
              </w:rPr>
              <w:t>Example</w:t>
            </w:r>
          </w:p>
        </w:tc>
        <w:tc>
          <w:tcPr>
            <w:tcW w:type="dxa" w:w="4224"/>
            <w:vAlign w:val="center"/>
            <w:shd w:fill="203B4C"/>
          </w:tcPr>
          <w:p>
            <w:pPr>
              <w:pStyle w:val="TableHead"/>
              <w:keepNext/>
              <w:keepLines/>
            </w:pPr>
            <w:r>
              <w:rPr>
                <w:color w:val="FFFFFF"/>
              </w:rPr>
              <w:t>Reflection focus</w:t>
            </w:r>
          </w:p>
        </w:tc>
      </w:tr>
      <w:tr>
        <w:trPr>
          <w:cantSplit/>
        </w:trPr>
        <w:tc>
          <w:tcPr>
            <w:tcW w:type="dxa" w:w="2598"/>
            <w:vAlign w:val="top"/>
            <w:shd w:fill="EDF2EE"/>
          </w:tcPr>
          <w:p>
            <w:pPr>
              <w:pStyle w:val="TableText"/>
              <w:keepNext w:val="0"/>
              <w:keepLines/>
            </w:pPr>
            <w:r>
              <w:t>Blame</w:t>
            </w:r>
          </w:p>
        </w:tc>
        <w:tc>
          <w:tcPr>
            <w:tcW w:type="dxa" w:w="3330"/>
            <w:vAlign w:val="top"/>
            <w:shd w:fill="EDF2EE"/>
          </w:tcPr>
          <w:p>
            <w:pPr>
              <w:pStyle w:val="TableText"/>
              <w:keepNext w:val="0"/>
              <w:keepLines/>
            </w:pPr>
            <w:r>
              <w:t>This is all your fault.</w:t>
            </w:r>
          </w:p>
        </w:tc>
        <w:tc>
          <w:tcPr>
            <w:tcW w:type="dxa" w:w="4224"/>
            <w:vAlign w:val="top"/>
            <w:shd w:fill="EDF2EE"/>
          </w:tcPr>
          <w:p>
            <w:pPr>
              <w:pStyle w:val="TableText"/>
              <w:keepNext w:val="0"/>
              <w:keepLines/>
            </w:pPr>
            <w:r>
              <w:t>Events, information and responsibility.</w:t>
            </w:r>
          </w:p>
        </w:tc>
      </w:tr>
      <w:tr>
        <w:trPr>
          <w:cantSplit/>
        </w:trPr>
        <w:tc>
          <w:tcPr>
            <w:tcW w:type="dxa" w:w="2598"/>
            <w:vAlign w:val="top"/>
            <w:shd w:fill="FFFFFF"/>
          </w:tcPr>
          <w:p>
            <w:pPr>
              <w:pStyle w:val="TableText"/>
              <w:keepNext w:val="0"/>
              <w:keepLines/>
            </w:pPr>
            <w:r>
              <w:t>Contempt</w:t>
            </w:r>
          </w:p>
        </w:tc>
        <w:tc>
          <w:tcPr>
            <w:tcW w:type="dxa" w:w="3330"/>
            <w:vAlign w:val="top"/>
            <w:shd w:fill="FFFFFF"/>
          </w:tcPr>
          <w:p>
            <w:pPr>
              <w:pStyle w:val="TableText"/>
              <w:keepNext w:val="0"/>
              <w:keepLines/>
            </w:pPr>
            <w:r>
              <w:t>You are useless.</w:t>
            </w:r>
          </w:p>
        </w:tc>
        <w:tc>
          <w:tcPr>
            <w:tcW w:type="dxa" w:w="4224"/>
            <w:vAlign w:val="top"/>
            <w:shd w:fill="FFFFFF"/>
          </w:tcPr>
          <w:p>
            <w:pPr>
              <w:pStyle w:val="TableText"/>
              <w:keepNext w:val="0"/>
              <w:keepLines/>
            </w:pPr>
            <w:r>
              <w:t>Effect of a judgement about the person.</w:t>
            </w:r>
          </w:p>
        </w:tc>
      </w:tr>
      <w:tr>
        <w:trPr>
          <w:cantSplit/>
        </w:trPr>
        <w:tc>
          <w:tcPr>
            <w:tcW w:type="dxa" w:w="2598"/>
            <w:vAlign w:val="top"/>
            <w:shd w:fill="EDF2EE"/>
          </w:tcPr>
          <w:p>
            <w:pPr>
              <w:pStyle w:val="TableText"/>
              <w:keepNext w:val="0"/>
              <w:keepLines/>
            </w:pPr>
            <w:r>
              <w:t>Global label</w:t>
            </w:r>
          </w:p>
        </w:tc>
        <w:tc>
          <w:tcPr>
            <w:tcW w:type="dxa" w:w="3330"/>
            <w:vAlign w:val="top"/>
            <w:shd w:fill="EDF2EE"/>
          </w:tcPr>
          <w:p>
            <w:pPr>
              <w:pStyle w:val="TableText"/>
              <w:keepNext w:val="0"/>
              <w:keepLines/>
            </w:pPr>
            <w:r>
              <w:t>You always ruin everything.</w:t>
            </w:r>
          </w:p>
        </w:tc>
        <w:tc>
          <w:tcPr>
            <w:tcW w:type="dxa" w:w="4224"/>
            <w:vAlign w:val="top"/>
            <w:shd w:fill="EDF2EE"/>
          </w:tcPr>
          <w:p>
            <w:pPr>
              <w:pStyle w:val="TableText"/>
              <w:keepNext w:val="0"/>
              <w:keepLines/>
            </w:pPr>
            <w:r>
              <w:t>Specific event versus identity claim.</w:t>
            </w:r>
          </w:p>
        </w:tc>
      </w:tr>
      <w:tr>
        <w:trPr>
          <w:cantSplit/>
        </w:trPr>
        <w:tc>
          <w:tcPr>
            <w:tcW w:type="dxa" w:w="2598"/>
            <w:vAlign w:val="top"/>
            <w:shd w:fill="FFFFFF"/>
          </w:tcPr>
          <w:p>
            <w:pPr>
              <w:pStyle w:val="TableText"/>
              <w:keepNext w:val="0"/>
              <w:keepLines/>
            </w:pPr>
            <w:r>
              <w:t>Exclusion</w:t>
            </w:r>
          </w:p>
        </w:tc>
        <w:tc>
          <w:tcPr>
            <w:tcW w:type="dxa" w:w="3330"/>
            <w:vAlign w:val="top"/>
            <w:shd w:fill="FFFFFF"/>
          </w:tcPr>
          <w:p>
            <w:pPr>
              <w:pStyle w:val="TableText"/>
              <w:keepNext w:val="0"/>
              <w:keepLines/>
            </w:pPr>
            <w:r>
              <w:t>Nobody asked you.</w:t>
            </w:r>
          </w:p>
        </w:tc>
        <w:tc>
          <w:tcPr>
            <w:tcW w:type="dxa" w:w="4224"/>
            <w:vAlign w:val="top"/>
            <w:shd w:fill="FFFFFF"/>
          </w:tcPr>
          <w:p>
            <w:pPr>
              <w:pStyle w:val="TableText"/>
              <w:keepNext w:val="0"/>
              <w:keepLines/>
            </w:pPr>
            <w:r>
              <w:t>Contribution attempted and response.</w:t>
            </w:r>
          </w:p>
        </w:tc>
      </w:tr>
      <w:tr>
        <w:trPr>
          <w:cantSplit/>
        </w:trPr>
        <w:tc>
          <w:tcPr>
            <w:tcW w:type="dxa" w:w="2598"/>
            <w:vAlign w:val="top"/>
            <w:shd w:fill="EDF2EE"/>
          </w:tcPr>
          <w:p>
            <w:pPr>
              <w:pStyle w:val="TableText"/>
              <w:keepNext w:val="0"/>
              <w:keepLines/>
            </w:pPr>
            <w:r>
              <w:t>Pressure</w:t>
            </w:r>
          </w:p>
        </w:tc>
        <w:tc>
          <w:tcPr>
            <w:tcW w:type="dxa" w:w="3330"/>
            <w:vAlign w:val="top"/>
            <w:shd w:fill="EDF2EE"/>
          </w:tcPr>
          <w:p>
            <w:pPr>
              <w:pStyle w:val="TableText"/>
              <w:keepNext w:val="0"/>
              <w:keepLines/>
            </w:pPr>
            <w:r>
              <w:t>Do it my way or you are out.</w:t>
            </w:r>
          </w:p>
        </w:tc>
        <w:tc>
          <w:tcPr>
            <w:tcW w:type="dxa" w:w="4224"/>
            <w:vAlign w:val="top"/>
            <w:shd w:fill="EDF2EE"/>
          </w:tcPr>
          <w:p>
            <w:pPr>
              <w:pStyle w:val="TableText"/>
              <w:keepNext w:val="0"/>
              <w:keepLines/>
            </w:pPr>
            <w:r>
              <w:t>Choices, agreement and boundaries.</w:t>
            </w:r>
          </w:p>
        </w:tc>
      </w:tr>
      <w:tr>
        <w:trPr>
          <w:cantSplit/>
        </w:trPr>
        <w:tc>
          <w:tcPr>
            <w:tcW w:type="dxa" w:w="2598"/>
            <w:vAlign w:val="top"/>
            <w:shd w:fill="FFFFFF"/>
          </w:tcPr>
          <w:p>
            <w:pPr>
              <w:pStyle w:val="TableText"/>
              <w:keepNext w:val="0"/>
              <w:keepLines/>
            </w:pPr>
            <w:r>
              <w:t>Self-judgement</w:t>
            </w:r>
          </w:p>
        </w:tc>
        <w:tc>
          <w:tcPr>
            <w:tcW w:type="dxa" w:w="3330"/>
            <w:vAlign w:val="top"/>
            <w:shd w:fill="FFFFFF"/>
          </w:tcPr>
          <w:p>
            <w:pPr>
              <w:pStyle w:val="TableText"/>
              <w:keepNext w:val="0"/>
              <w:keepLines/>
            </w:pPr>
            <w:r>
              <w:t>I am stupid.</w:t>
            </w:r>
          </w:p>
        </w:tc>
        <w:tc>
          <w:tcPr>
            <w:tcW w:type="dxa" w:w="4224"/>
            <w:vAlign w:val="top"/>
            <w:shd w:fill="FFFFFF"/>
          </w:tcPr>
          <w:p>
            <w:pPr>
              <w:pStyle w:val="TableText"/>
              <w:keepNext w:val="0"/>
              <w:keepLines/>
            </w:pPr>
            <w:r>
              <w:t>Difficulty treated as identity.</w:t>
            </w:r>
          </w:p>
        </w:tc>
      </w:tr>
      <w:tr>
        <w:trPr>
          <w:cantSplit/>
        </w:trPr>
        <w:tc>
          <w:tcPr>
            <w:tcW w:type="dxa" w:w="2598"/>
            <w:vAlign w:val="top"/>
            <w:shd w:fill="EDF2EE"/>
          </w:tcPr>
          <w:p>
            <w:pPr>
              <w:pStyle w:val="TableText"/>
              <w:keepNext w:val="0"/>
              <w:keepLines/>
            </w:pPr>
            <w:r>
              <w:t>Premature hopelessness</w:t>
            </w:r>
          </w:p>
        </w:tc>
        <w:tc>
          <w:tcPr>
            <w:tcW w:type="dxa" w:w="3330"/>
            <w:vAlign w:val="top"/>
            <w:shd w:fill="EDF2EE"/>
          </w:tcPr>
          <w:p>
            <w:pPr>
              <w:pStyle w:val="TableText"/>
              <w:keepNext w:val="0"/>
              <w:keepLines/>
            </w:pPr>
            <w:r>
              <w:t>Nothing will work.</w:t>
            </w:r>
          </w:p>
        </w:tc>
        <w:tc>
          <w:tcPr>
            <w:tcW w:type="dxa" w:w="4224"/>
            <w:vAlign w:val="top"/>
            <w:shd w:fill="EDF2EE"/>
          </w:tcPr>
          <w:p>
            <w:pPr>
              <w:pStyle w:val="TableText"/>
              <w:keepNext w:val="0"/>
              <w:keepLines/>
            </w:pPr>
            <w:r>
              <w:t>Evidence and untried options.</w:t>
            </w:r>
          </w:p>
        </w:tc>
      </w:tr>
      <w:tr>
        <w:trPr>
          <w:cantSplit/>
        </w:trPr>
        <w:tc>
          <w:tcPr>
            <w:tcW w:type="dxa" w:w="2598"/>
            <w:vAlign w:val="top"/>
            <w:shd w:fill="FFFFFF"/>
          </w:tcPr>
          <w:p>
            <w:pPr>
              <w:pStyle w:val="TableText"/>
              <w:keepNext w:val="0"/>
              <w:keepLines/>
            </w:pPr>
            <w:r>
              <w:t>Silencing certainty</w:t>
            </w:r>
          </w:p>
        </w:tc>
        <w:tc>
          <w:tcPr>
            <w:tcW w:type="dxa" w:w="3330"/>
            <w:vAlign w:val="top"/>
            <w:shd w:fill="FFFFFF"/>
          </w:tcPr>
          <w:p>
            <w:pPr>
              <w:pStyle w:val="TableText"/>
              <w:keepNext w:val="0"/>
              <w:keepLines/>
            </w:pPr>
            <w:r>
              <w:t>Obviously I am right.</w:t>
            </w:r>
          </w:p>
        </w:tc>
        <w:tc>
          <w:tcPr>
            <w:tcW w:type="dxa" w:w="4224"/>
            <w:vAlign w:val="top"/>
            <w:shd w:fill="FFFFFF"/>
          </w:tcPr>
          <w:p>
            <w:pPr>
              <w:pStyle w:val="TableText"/>
              <w:keepNext w:val="0"/>
              <w:keepLines/>
            </w:pPr>
            <w:r>
              <w:t>Alternative explanations considered.</w:t>
            </w:r>
          </w:p>
        </w:tc>
      </w:tr>
      <w:tr>
        <w:trPr>
          <w:cantSplit/>
        </w:trPr>
        <w:tc>
          <w:tcPr>
            <w:tcW w:type="dxa" w:w="2598"/>
            <w:vAlign w:val="top"/>
            <w:shd w:fill="EDF2EE"/>
          </w:tcPr>
          <w:p>
            <w:pPr>
              <w:pStyle w:val="TableText"/>
              <w:keepNext w:val="0"/>
              <w:keepLines/>
            </w:pPr>
            <w:r>
              <w:t>Deflection</w:t>
            </w:r>
          </w:p>
        </w:tc>
        <w:tc>
          <w:tcPr>
            <w:tcW w:type="dxa" w:w="3330"/>
            <w:vAlign w:val="top"/>
            <w:shd w:fill="EDF2EE"/>
          </w:tcPr>
          <w:p>
            <w:pPr>
              <w:pStyle w:val="TableText"/>
              <w:keepNext w:val="0"/>
              <w:keepLines/>
            </w:pPr>
            <w:r>
              <w:t>It was only a joke.</w:t>
            </w:r>
          </w:p>
        </w:tc>
        <w:tc>
          <w:tcPr>
            <w:tcW w:type="dxa" w:w="4224"/>
            <w:vAlign w:val="top"/>
            <w:shd w:fill="EDF2EE"/>
          </w:tcPr>
          <w:p>
            <w:pPr>
              <w:pStyle w:val="TableText"/>
              <w:keepNext w:val="0"/>
              <w:keepLines/>
            </w:pPr>
            <w:r>
              <w:t>Intention, reception and repair.</w:t>
            </w:r>
          </w:p>
        </w:tc>
      </w:tr>
    </w:tbl>
    <w:p>
      <w:pPr>
        <w:spacing w:after="20" w:before="0" w:line="240" w:lineRule="auto"/>
      </w:pPr>
      <w:r>
        <w:rPr>
          <w:sz w:val="6"/>
        </w:rPr>
      </w:r>
    </w:p>
    <w:p>
      <w:pPr/>
      <w:r>
        <w:t>Anger, criticism, refusal and firm boundaries can be appropriate. Profanity alone is not a measure of harm. Culture, banter and the participants' interpretations matter. Quiet participation may include reading, making or thinking. Participants can correct the record.</w:t>
      </w:r>
    </w:p>
    <w:p>
      <w:pPr>
        <w:pStyle w:val="SourceNote"/>
      </w:pPr>
      <w:r>
        <w:t xml:space="preserve">Sources: </w:t>
      </w:r>
      <w:hyperlink w:anchor="source_D03">
        <w:r>
          <w:rPr>
            <w:color w:val="275E67"/>
            <w:u w:val="single"/>
          </w:rPr>
          <w:t xml:space="preserve">D03</w:t>
        </w:r>
      </w:hyperlink>
      <w:r>
        <w:t xml:space="preserve">, </w:t>
      </w:r>
      <w:hyperlink w:anchor="source_D04">
        <w:r>
          <w:rPr>
            <w:color w:val="275E67"/>
            <w:u w:val="single"/>
          </w:rPr>
          <w:t xml:space="preserve">D04</w:t>
        </w:r>
      </w:hyperlink>
      <w:r>
        <w:t xml:space="preserve">, </w:t>
      </w:r>
      <w:hyperlink w:anchor="source_D05">
        <w:r>
          <w:rPr>
            <w:color w:val="275E67"/>
            <w:u w:val="single"/>
          </w:rPr>
          <w:t xml:space="preserve">D05</w:t>
        </w:r>
      </w:hyperlink>
    </w:p>
    <w:p>
      <w:bookmarkStart w:id="35" w:name="s_learning_Vocabulary_and_rehea_3f67ce"/>
      <w:pPr>
        <w:pStyle w:val="Heading2"/>
      </w:pPr>
      <w:r>
        <w:t>Vocabulary and rehearsal</w:t>
      </w:r>
      <w:bookmarkEnd w:id="35"/>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3656"/>
        <w:gridCol w:w="6496"/>
      </w:tblGrid>
      <w:tr>
        <w:trPr>
          <w:cantSplit/>
          <w:tblHeader w:val="true"/>
        </w:trPr>
        <w:tc>
          <w:tcPr>
            <w:tcW w:type="dxa" w:w="3656"/>
            <w:vAlign w:val="center"/>
            <w:shd w:fill="203B4C"/>
          </w:tcPr>
          <w:p>
            <w:pPr>
              <w:pStyle w:val="TableHead"/>
              <w:keepNext/>
              <w:keepLines/>
            </w:pPr>
            <w:r>
              <w:rPr>
                <w:color w:val="FFFFFF"/>
              </w:rPr>
              <w:t>Starting expression</w:t>
            </w:r>
          </w:p>
        </w:tc>
        <w:tc>
          <w:tcPr>
            <w:tcW w:type="dxa" w:w="6496"/>
            <w:vAlign w:val="center"/>
            <w:shd w:fill="203B4C"/>
          </w:tcPr>
          <w:p>
            <w:pPr>
              <w:pStyle w:val="TableHead"/>
              <w:keepNext/>
              <w:keepLines/>
            </w:pPr>
            <w:r>
              <w:rPr>
                <w:color w:val="FFFFFF"/>
              </w:rPr>
              <w:t>Alternative to rehearse after play</w:t>
            </w:r>
          </w:p>
        </w:tc>
      </w:tr>
      <w:tr>
        <w:trPr>
          <w:cantSplit/>
        </w:trPr>
        <w:tc>
          <w:tcPr>
            <w:tcW w:type="dxa" w:w="3656"/>
            <w:vAlign w:val="top"/>
            <w:shd w:fill="EDF2EE"/>
          </w:tcPr>
          <w:p>
            <w:pPr>
              <w:pStyle w:val="TableText"/>
              <w:keepNext w:val="0"/>
              <w:keepLines/>
            </w:pPr>
            <w:r>
              <w:t>You never listen.</w:t>
            </w:r>
          </w:p>
        </w:tc>
        <w:tc>
          <w:tcPr>
            <w:tcW w:type="dxa" w:w="6496"/>
            <w:vAlign w:val="top"/>
            <w:shd w:fill="EDF2EE"/>
          </w:tcPr>
          <w:p>
            <w:pPr>
              <w:pStyle w:val="TableText"/>
              <w:keepNext w:val="0"/>
              <w:keepLines/>
            </w:pPr>
            <w:r>
              <w:t>I have not finished the instruction. Can I finish, then hear your idea?</w:t>
            </w:r>
          </w:p>
        </w:tc>
      </w:tr>
      <w:tr>
        <w:trPr>
          <w:cantSplit/>
        </w:trPr>
        <w:tc>
          <w:tcPr>
            <w:tcW w:type="dxa" w:w="3656"/>
            <w:vAlign w:val="top"/>
            <w:shd w:fill="FFFFFF"/>
          </w:tcPr>
          <w:p>
            <w:pPr>
              <w:pStyle w:val="TableText"/>
              <w:keepNext w:val="0"/>
              <w:keepLines/>
            </w:pPr>
            <w:r>
              <w:t>I cannot do anything.</w:t>
            </w:r>
          </w:p>
        </w:tc>
        <w:tc>
          <w:tcPr>
            <w:tcW w:type="dxa" w:w="6496"/>
            <w:vAlign w:val="top"/>
            <w:shd w:fill="FFFFFF"/>
          </w:tcPr>
          <w:p>
            <w:pPr>
              <w:pStyle w:val="TableText"/>
              <w:keepNext w:val="0"/>
              <w:keepLines/>
            </w:pPr>
            <w:r>
              <w:t>I am stuck here. I can explain what I tried.</w:t>
            </w:r>
          </w:p>
        </w:tc>
      </w:tr>
      <w:tr>
        <w:trPr>
          <w:cantSplit/>
        </w:trPr>
        <w:tc>
          <w:tcPr>
            <w:tcW w:type="dxa" w:w="3656"/>
            <w:vAlign w:val="top"/>
            <w:shd w:fill="EDF2EE"/>
          </w:tcPr>
          <w:p>
            <w:pPr>
              <w:pStyle w:val="TableText"/>
              <w:keepNext w:val="0"/>
              <w:keepLines/>
            </w:pPr>
            <w:r>
              <w:t>That is stupid.</w:t>
            </w:r>
          </w:p>
        </w:tc>
        <w:tc>
          <w:tcPr>
            <w:tcW w:type="dxa" w:w="6496"/>
            <w:vAlign w:val="top"/>
            <w:shd w:fill="EDF2EE"/>
          </w:tcPr>
          <w:p>
            <w:pPr>
              <w:pStyle w:val="TableText"/>
              <w:keepNext w:val="0"/>
              <w:keepLines/>
            </w:pPr>
            <w:r>
              <w:t>I see a timing problem. What if the first step takes longer?</w:t>
            </w:r>
          </w:p>
        </w:tc>
      </w:tr>
      <w:tr>
        <w:trPr>
          <w:cantSplit/>
        </w:trPr>
        <w:tc>
          <w:tcPr>
            <w:tcW w:type="dxa" w:w="3656"/>
            <w:vAlign w:val="top"/>
            <w:shd w:fill="FFFFFF"/>
          </w:tcPr>
          <w:p>
            <w:pPr>
              <w:pStyle w:val="TableText"/>
              <w:keepNext w:val="0"/>
              <w:keepLines/>
            </w:pPr>
            <w:r>
              <w:t>Just do it.</w:t>
            </w:r>
          </w:p>
        </w:tc>
        <w:tc>
          <w:tcPr>
            <w:tcW w:type="dxa" w:w="6496"/>
            <w:vAlign w:val="top"/>
            <w:shd w:fill="FFFFFF"/>
          </w:tcPr>
          <w:p>
            <w:pPr>
              <w:pStyle w:val="TableText"/>
              <w:keepNext w:val="0"/>
              <w:keepLines/>
            </w:pPr>
            <w:r>
              <w:t>Are you willing to take this part? What do you need?</w:t>
            </w:r>
          </w:p>
        </w:tc>
      </w:tr>
      <w:tr>
        <w:trPr>
          <w:cantSplit/>
        </w:trPr>
        <w:tc>
          <w:tcPr>
            <w:tcW w:type="dxa" w:w="3656"/>
            <w:vAlign w:val="top"/>
            <w:shd w:fill="EDF2EE"/>
          </w:tcPr>
          <w:p>
            <w:pPr>
              <w:pStyle w:val="TableText"/>
              <w:keepNext w:val="0"/>
              <w:keepLines/>
            </w:pPr>
            <w:r>
              <w:t>Fine whatever.</w:t>
            </w:r>
          </w:p>
        </w:tc>
        <w:tc>
          <w:tcPr>
            <w:tcW w:type="dxa" w:w="6496"/>
            <w:vAlign w:val="top"/>
            <w:shd w:fill="EDF2EE"/>
          </w:tcPr>
          <w:p>
            <w:pPr>
              <w:pStyle w:val="TableText"/>
              <w:keepNext w:val="0"/>
              <w:keepLines/>
            </w:pPr>
            <w:r>
              <w:t>I will support that choice and want to record one concern.</w:t>
            </w:r>
          </w:p>
        </w:tc>
      </w:tr>
    </w:tbl>
    <w:p>
      <w:pPr>
        <w:spacing w:after="20" w:before="0" w:line="240" w:lineRule="auto"/>
      </w:pPr>
      <w:r>
        <w:rPr>
          <w:sz w:val="6"/>
        </w:rPr>
      </w:r>
    </w:p>
    <w:p>
      <w:pPr/>
      <w:r>
        <w:t>The event supplies a reason to learn distinctions such as assumption, evidence, uncertainty, consent and repair. Reflection selects moments, checks accounts, rehearses alternatives and identifies a later application. Sensitive individual material needs a private setting.</w:t>
      </w:r>
    </w:p>
    <w:p>
      <w:pPr>
        <w:pStyle w:val="SourceNote"/>
      </w:pPr>
      <w:r>
        <w:t xml:space="preserve">Sources: </w:t>
      </w:r>
      <w:hyperlink w:anchor="source_D05">
        <w:r>
          <w:rPr>
            <w:color w:val="275E67"/>
            <w:u w:val="single"/>
          </w:rPr>
          <w:t xml:space="preserve">D05</w:t>
        </w:r>
      </w:hyperlink>
      <w:r>
        <w:t xml:space="preserve">, </w:t>
      </w:r>
      <w:hyperlink w:anchor="source_D06">
        <w:r>
          <w:rPr>
            <w:color w:val="275E67"/>
            <w:u w:val="single"/>
          </w:rPr>
          <w:t xml:space="preserve">D06</w:t>
        </w:r>
      </w:hyperlink>
    </w:p>
    <w:p>
      <w:bookmarkStart w:id="36" w:name="s_learning_Progression_and_tran_703dd4"/>
      <w:pPr>
        <w:pStyle w:val="Heading2"/>
      </w:pPr>
      <w:r>
        <w:t>Progression and transfer</w:t>
      </w:r>
      <w:bookmarkEnd w:id="36"/>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2698"/>
        <w:gridCol w:w="3483"/>
        <w:gridCol w:w="3971"/>
      </w:tblGrid>
      <w:tr>
        <w:trPr>
          <w:cantSplit/>
          <w:tblHeader w:val="true"/>
        </w:trPr>
        <w:tc>
          <w:tcPr>
            <w:tcW w:type="dxa" w:w="2698"/>
            <w:vAlign w:val="center"/>
            <w:shd w:fill="203B4C"/>
          </w:tcPr>
          <w:p>
            <w:pPr>
              <w:pStyle w:val="TableHead"/>
              <w:keepNext/>
              <w:keepLines/>
            </w:pPr>
            <w:r>
              <w:rPr>
                <w:color w:val="FFFFFF"/>
              </w:rPr>
              <w:t>Stage</w:t>
            </w:r>
          </w:p>
        </w:tc>
        <w:tc>
          <w:tcPr>
            <w:tcW w:type="dxa" w:w="3483"/>
            <w:vAlign w:val="center"/>
            <w:shd w:fill="203B4C"/>
          </w:tcPr>
          <w:p>
            <w:pPr>
              <w:pStyle w:val="TableHead"/>
              <w:keepNext/>
              <w:keepLines/>
            </w:pPr>
            <w:r>
              <w:rPr>
                <w:color w:val="FFFFFF"/>
              </w:rPr>
              <w:t>Possible task focus</w:t>
            </w:r>
          </w:p>
        </w:tc>
        <w:tc>
          <w:tcPr>
            <w:tcW w:type="dxa" w:w="3971"/>
            <w:vAlign w:val="center"/>
            <w:shd w:fill="203B4C"/>
          </w:tcPr>
          <w:p>
            <w:pPr>
              <w:pStyle w:val="TableHead"/>
              <w:keepNext/>
              <w:keepLines/>
            </w:pPr>
            <w:r>
              <w:rPr>
                <w:color w:val="FFFFFF"/>
              </w:rPr>
              <w:t>Application beyond the room</w:t>
            </w:r>
          </w:p>
        </w:tc>
      </w:tr>
      <w:tr>
        <w:trPr>
          <w:cantSplit/>
        </w:trPr>
        <w:tc>
          <w:tcPr>
            <w:tcW w:type="dxa" w:w="2698"/>
            <w:vAlign w:val="top"/>
            <w:shd w:fill="EDF2EE"/>
          </w:tcPr>
          <w:p>
            <w:pPr>
              <w:pStyle w:val="TableText"/>
              <w:keepNext w:val="0"/>
              <w:keepLines/>
            </w:pPr>
            <w:r>
              <w:t>Primary years</w:t>
            </w:r>
          </w:p>
        </w:tc>
        <w:tc>
          <w:tcPr>
            <w:tcW w:type="dxa" w:w="3483"/>
            <w:vAlign w:val="top"/>
            <w:shd w:fill="EDF2EE"/>
          </w:tcPr>
          <w:p>
            <w:pPr>
              <w:pStyle w:val="TableText"/>
              <w:keepNext w:val="0"/>
              <w:keepLines/>
            </w:pPr>
            <w:r>
              <w:t>Shared clues, construction and resources</w:t>
            </w:r>
          </w:p>
        </w:tc>
        <w:tc>
          <w:tcPr>
            <w:tcW w:type="dxa" w:w="3971"/>
            <w:vAlign w:val="top"/>
            <w:shd w:fill="EDF2EE"/>
          </w:tcPr>
          <w:p>
            <w:pPr>
              <w:pStyle w:val="TableText"/>
              <w:keepNext w:val="0"/>
              <w:keepLines/>
            </w:pPr>
            <w:r>
              <w:t>Turn-taking, specific requests, fairness and repair.</w:t>
            </w:r>
          </w:p>
        </w:tc>
      </w:tr>
      <w:tr>
        <w:trPr>
          <w:cantSplit/>
        </w:trPr>
        <w:tc>
          <w:tcPr>
            <w:tcW w:type="dxa" w:w="2698"/>
            <w:vAlign w:val="top"/>
            <w:shd w:fill="FFFFFF"/>
          </w:tcPr>
          <w:p>
            <w:pPr>
              <w:pStyle w:val="TableText"/>
              <w:keepNext w:val="0"/>
              <w:keepLines/>
            </w:pPr>
            <w:r>
              <w:t>Adolescence</w:t>
            </w:r>
          </w:p>
        </w:tc>
        <w:tc>
          <w:tcPr>
            <w:tcW w:type="dxa" w:w="3483"/>
            <w:vAlign w:val="top"/>
            <w:shd w:fill="FFFFFF"/>
          </w:tcPr>
          <w:p>
            <w:pPr>
              <w:pStyle w:val="TableText"/>
              <w:keepNext w:val="0"/>
              <w:keepLines/>
            </w:pPr>
            <w:r>
              <w:t>Disputed information and peer situations</w:t>
            </w:r>
          </w:p>
        </w:tc>
        <w:tc>
          <w:tcPr>
            <w:tcW w:type="dxa" w:w="3971"/>
            <w:vAlign w:val="top"/>
            <w:shd w:fill="FFFFFF"/>
          </w:tcPr>
          <w:p>
            <w:pPr>
              <w:pStyle w:val="TableText"/>
              <w:keepNext w:val="0"/>
              <w:keepLines/>
            </w:pPr>
            <w:r>
              <w:t>Evidence, pressure, boundaries and disagreement.</w:t>
            </w:r>
          </w:p>
        </w:tc>
      </w:tr>
      <w:tr>
        <w:trPr>
          <w:cantSplit/>
        </w:trPr>
        <w:tc>
          <w:tcPr>
            <w:tcW w:type="dxa" w:w="2698"/>
            <w:vAlign w:val="top"/>
            <w:shd w:fill="EDF2EE"/>
          </w:tcPr>
          <w:p>
            <w:pPr>
              <w:pStyle w:val="TableText"/>
              <w:keepNext w:val="0"/>
              <w:keepLines/>
            </w:pPr>
            <w:r>
              <w:t>Early adulthood and work</w:t>
            </w:r>
          </w:p>
        </w:tc>
        <w:tc>
          <w:tcPr>
            <w:tcW w:type="dxa" w:w="3483"/>
            <w:vAlign w:val="top"/>
            <w:shd w:fill="EDF2EE"/>
          </w:tcPr>
          <w:p>
            <w:pPr>
              <w:pStyle w:val="TableText"/>
              <w:keepNext w:val="0"/>
              <w:keepLines/>
            </w:pPr>
            <w:r>
              <w:t>Handover, travel, unfamiliar services and deadlines</w:t>
            </w:r>
          </w:p>
        </w:tc>
        <w:tc>
          <w:tcPr>
            <w:tcW w:type="dxa" w:w="3971"/>
            <w:vAlign w:val="top"/>
            <w:shd w:fill="EDF2EE"/>
          </w:tcPr>
          <w:p>
            <w:pPr>
              <w:pStyle w:val="TableText"/>
              <w:keepNext w:val="0"/>
              <w:keepLines/>
            </w:pPr>
            <w:r>
              <w:t>Negotiation, checking requirements and accountability.</w:t>
            </w:r>
          </w:p>
        </w:tc>
      </w:tr>
      <w:tr>
        <w:trPr>
          <w:cantSplit/>
        </w:trPr>
        <w:tc>
          <w:tcPr>
            <w:tcW w:type="dxa" w:w="2698"/>
            <w:vAlign w:val="top"/>
            <w:shd w:fill="FFFFFF"/>
          </w:tcPr>
          <w:p>
            <w:pPr>
              <w:pStyle w:val="TableText"/>
              <w:keepNext w:val="0"/>
              <w:keepLines/>
            </w:pPr>
            <w:r>
              <w:t>Families and generations</w:t>
            </w:r>
          </w:p>
        </w:tc>
        <w:tc>
          <w:tcPr>
            <w:tcW w:type="dxa" w:w="3483"/>
            <w:vAlign w:val="top"/>
            <w:shd w:fill="FFFFFF"/>
          </w:tcPr>
          <w:p>
            <w:pPr>
              <w:pStyle w:val="TableText"/>
              <w:keepNext w:val="0"/>
              <w:keepLines/>
            </w:pPr>
            <w:r>
              <w:t>Shared plans and care preferences</w:t>
            </w:r>
          </w:p>
        </w:tc>
        <w:tc>
          <w:tcPr>
            <w:tcW w:type="dxa" w:w="3971"/>
            <w:vAlign w:val="top"/>
            <w:shd w:fill="FFFFFF"/>
          </w:tcPr>
          <w:p>
            <w:pPr>
              <w:pStyle w:val="TableText"/>
              <w:keepNext w:val="0"/>
              <w:keepLines/>
            </w:pPr>
            <w:r>
              <w:t>Listening across differences and fair contribution.</w:t>
            </w:r>
          </w:p>
        </w:tc>
      </w:tr>
      <w:tr>
        <w:trPr>
          <w:cantSplit/>
        </w:trPr>
        <w:tc>
          <w:tcPr>
            <w:tcW w:type="dxa" w:w="2698"/>
            <w:vAlign w:val="top"/>
            <w:shd w:fill="EDF2EE"/>
          </w:tcPr>
          <w:p>
            <w:pPr>
              <w:pStyle w:val="TableText"/>
              <w:keepNext w:val="0"/>
              <w:keepLines/>
            </w:pPr>
            <w:r>
              <w:t>Later life</w:t>
            </w:r>
          </w:p>
        </w:tc>
        <w:tc>
          <w:tcPr>
            <w:tcW w:type="dxa" w:w="3483"/>
            <w:vAlign w:val="top"/>
            <w:shd w:fill="EDF2EE"/>
          </w:tcPr>
          <w:p>
            <w:pPr>
              <w:pStyle w:val="TableText"/>
              <w:keepNext w:val="0"/>
              <w:keepLines/>
            </w:pPr>
            <w:r>
              <w:t>Changed routines and community decisions</w:t>
            </w:r>
          </w:p>
        </w:tc>
        <w:tc>
          <w:tcPr>
            <w:tcW w:type="dxa" w:w="3971"/>
            <w:vAlign w:val="top"/>
            <w:shd w:fill="EDF2EE"/>
          </w:tcPr>
          <w:p>
            <w:pPr>
              <w:pStyle w:val="TableText"/>
              <w:keepNext w:val="0"/>
              <w:keepLines/>
            </w:pPr>
            <w:r>
              <w:t>Directing assistance, adapting and mentoring.</w:t>
            </w:r>
          </w:p>
        </w:tc>
      </w:tr>
    </w:tbl>
    <w:p>
      <w:pPr>
        <w:spacing w:after="20" w:before="0" w:line="240" w:lineRule="auto"/>
      </w:pPr>
      <w:r>
        <w:rPr>
          <w:sz w:val="6"/>
        </w:rPr>
      </w:r>
    </w:p>
    <w:p>
      <w:pPr/>
      <w:r>
        <w:t>Version choice follows interests, readiness and access needs. Adjust text, pace and sensory load while retaining adult themes for adults. School designs can map to the Personal and Social capability continuum.</w:t>
      </w:r>
    </w:p>
    <w:p>
      <w:pPr/>
      <w:r>
        <w:t>A participant chooses a skill to try in another room or real setting. A later task tests independent use; a positive debrief alone does not establish transfer. Personal Aura continuity retains the goals and examples the person chooses. Group clips require the permissions of the people included.</w:t>
      </w:r>
    </w:p>
    <w:p>
      <w:pPr>
        <w:pStyle w:val="SourceNote"/>
      </w:pPr>
      <w:r>
        <w:t xml:space="preserve">Sources: </w:t>
      </w:r>
      <w:hyperlink w:anchor="source_D03">
        <w:r>
          <w:rPr>
            <w:color w:val="275E67"/>
            <w:u w:val="single"/>
          </w:rPr>
          <w:t xml:space="preserve">D03</w:t>
        </w:r>
      </w:hyperlink>
      <w:r>
        <w:t xml:space="preserve">, </w:t>
      </w:r>
      <w:hyperlink w:anchor="source_D04">
        <w:r>
          <w:rPr>
            <w:color w:val="275E67"/>
            <w:u w:val="single"/>
          </w:rPr>
          <w:t xml:space="preserve">D04</w:t>
        </w:r>
      </w:hyperlink>
      <w:r>
        <w:t xml:space="preserve">, </w:t>
      </w:r>
      <w:hyperlink w:anchor="source_D05">
        <w:r>
          <w:rPr>
            <w:color w:val="275E67"/>
            <w:u w:val="single"/>
          </w:rPr>
          <w:t xml:space="preserve">D05</w:t>
        </w:r>
      </w:hyperlink>
      <w:r>
        <w:t xml:space="preserve">, </w:t>
      </w:r>
      <w:hyperlink w:anchor="source_M24">
        <w:r>
          <w:rPr>
            <w:color w:val="275E67"/>
            <w:u w:val="single"/>
          </w:rPr>
          <w:t xml:space="preserve">M24</w:t>
        </w:r>
      </w:hyperlink>
      <w:r>
        <w:t xml:space="preserve">, </w:t>
      </w:r>
      <w:hyperlink w:anchor="source_M25">
        <w:r>
          <w:rPr>
            <w:color w:val="275E67"/>
            <w:u w:val="single"/>
          </w:rPr>
          <w:t xml:space="preserve">M25</w:t>
        </w:r>
      </w:hyperlink>
      <w:r>
        <w:t xml:space="preserve">, </w:t>
      </w:r>
      <w:hyperlink w:anchor="source_P01">
        <w:r>
          <w:rPr>
            <w:color w:val="275E67"/>
            <w:u w:val="single"/>
          </w:rPr>
          <w:t xml:space="preserve">P01</w:t>
        </w:r>
      </w:hyperlink>
    </w:p>
    <w:p>
      <w:bookmarkStart w:id="37" w:name="chapter_agent_roles"/>
      <w:pPr>
        <w:pStyle w:val="Heading1"/>
        <w:pageBreakBefore/>
      </w:pPr>
      <w:r>
        <w:t>Research computation and paid work</w:t>
      </w:r>
      <w:bookmarkEnd w:id="37"/>
    </w:p>
    <w:p>
      <w:pPr>
        <w:pStyle w:val="Lead"/>
      </w:pPr>
      <w:r>
        <w:t>Evidence and computation supporting skilled human work and founder decisions.</w:t>
      </w:r>
    </w:p>
    <w:p>
      <w:bookmarkStart w:id="38" w:name="s_agent_roles_Research_and_comp_c19a99"/>
      <w:pPr>
        <w:pStyle w:val="Heading2"/>
      </w:pPr>
      <w:r>
        <w:t>Research and computation</w:t>
      </w:r>
      <w:bookmarkEnd w:id="38"/>
    </w:p>
    <w:p>
      <w:pPr/>
      <w:r>
        <w:t>AI can compare cited market offers, calculate quantities and sensitivities, draft design alternatives, organise source records and prepare JIT material. Outputs retain their evidence and assumptions for human review. The business direction and decisions remain with Luke.</w:t>
      </w:r>
    </w:p>
    <w:p>
      <w:pPr/>
      <w:r>
        <w:t>The software calculator prices defined work by usage. A model name identifies a rate benchmark, not an appointed agent or an operating role.</w:t>
      </w:r>
    </w:p>
    <w:p>
      <w:bookmarkStart w:id="39" w:name="s_agent_roles_Paid_work_65cd29"/>
      <w:pPr>
        <w:pStyle w:val="Heading2"/>
      </w:pPr>
      <w:r>
        <w:t>Paid work</w:t>
      </w:r>
      <w:bookmarkEnd w:id="39"/>
    </w:p>
    <w:p>
      <w:pPr/>
      <w:r>
        <w:t>Cost preparation, travel where applicable, installation, paid learning, supervision, testing and handover. Design and specialist work need their own scope and provider rates. Skilled workers validate methods and acceptance; AI-generated hours remain estimates until checked against a quote or observed work.</w:t>
      </w:r>
    </w:p>
    <w:p>
      <w:pPr/>
      <w:r>
        <w:t>JIT material should enable another paid crew to perform the task using the actual site and room version. Teaching, filming, editing and mentoring consume paid time.</w:t>
      </w:r>
    </w:p>
    <w:p>
      <w:pPr>
        <w:pStyle w:val="SourceNote"/>
      </w:pPr>
      <w:r>
        <w:t xml:space="preserve">Sources: </w:t>
      </w:r>
      <w:hyperlink w:anchor="source_D05">
        <w:r>
          <w:rPr>
            <w:color w:val="275E67"/>
            <w:u w:val="single"/>
          </w:rPr>
          <w:t xml:space="preserve">D05</w:t>
        </w:r>
      </w:hyperlink>
      <w:r>
        <w:t xml:space="preserve">, </w:t>
      </w:r>
      <w:hyperlink w:anchor="source_D06">
        <w:r>
          <w:rPr>
            <w:color w:val="275E67"/>
            <w:u w:val="single"/>
          </w:rPr>
          <w:t xml:space="preserve">D06</w:t>
        </w:r>
      </w:hyperlink>
    </w:p>
    <w:p>
      <w:bookmarkStart w:id="40" w:name="chapter_renewal"/>
      <w:pPr>
        <w:pStyle w:val="Heading1"/>
        <w:spacing w:before="360"/>
      </w:pPr>
      <w:r>
        <w:t>Renewal and rotation</w:t>
      </w:r>
      <w:bookmarkEnd w:id="40"/>
    </w:p>
    <w:p>
      <w:pPr>
        <w:pStyle w:val="Lead"/>
      </w:pPr>
      <w:r>
        <w:t>Replacement costs, downtime and fresh content for repeat visits.</w:t>
      </w:r>
    </w:p>
    <w:p>
      <w:bookmarkStart w:id="41" w:name="s_renewal_Asset_and_content_ren_5556d0"/>
      <w:pPr>
        <w:pStyle w:val="Heading2"/>
      </w:pPr>
      <w:r>
        <w:t>Asset and content renewal</w:t>
      </w:r>
      <w:bookmarkEnd w:id="41"/>
    </w:p>
    <w:p>
      <w:pPr/>
      <w:r>
        <w:t>Track story versions, props and mechanisms, recording and control equipment, furniture and fixed services separately. Renew against condition, support, repeat demand and the cost of alternatives.</w:t>
      </w:r>
    </w:p>
    <w:p>
      <w:pPr/>
      <w:r>
        <w:rPr>
          <w:b/>
        </w:rPr>
        <w:t>Annual replacement provision = sum of each asset's replacement cost ÷ funding interval.</w:t>
      </w:r>
      <w:r>
        <w:t xml:space="preserve"> This is a cash-planning contribution, not depreciation or a prediction of failure. Enter repair, freight, installation and downtime separately.</w:t>
      </w:r>
    </w:p>
    <w:p>
      <w:pPr>
        <w:pStyle w:val="SourceNote"/>
      </w:pPr>
      <w:hyperlink r:id="rId22">
        <w:r>
          <w:rPr>
            <w:color w:val="275E67"/>
            <w:u w:val="single"/>
          </w:rPr>
          <w:t xml:space="preserve">Change inputs in the online calculator</w:t>
        </w:r>
      </w:hyperlink>
    </w:p>
    <w:p>
      <w:bookmarkStart w:id="42" w:name="s_renewal_Downtime_and_room_mov_853007"/>
      <w:pPr>
        <w:pStyle w:val="Heading2"/>
      </w:pPr>
      <w:r>
        <w:t>Downtime and room movement</w:t>
      </w:r>
      <w:bookmarkEnd w:id="42"/>
    </w:p>
    <w:p>
      <w:pPr/>
      <w:r>
        <w:rPr>
          <w:b/>
        </w:rPr>
        <w:t>Lost contribution = displaced sessions × expected sold share × contribution per sold session.</w:t>
      </w:r>
      <w:r>
        <w:t xml:space="preserve"> Continuing fixed costs are not avoided by closing a room. Do not treat every blocked slot as a sold booking.</w:t>
      </w:r>
    </w:p>
    <w:p>
      <w:pPr/>
      <w:r>
        <w:t>Compare new story paths, replacement puzzle modules, complete-theme renewal and movement to another venue. A rotation brief includes asset condition, rights, receiving layout, transport, works, commissioning, paid learning and downtime. Updated reset guides and JIT lessons travel with the relevant version.</w:t>
      </w:r>
    </w:p>
    <w:p>
      <w:pPr>
        <w:pStyle w:val="SourceNote"/>
      </w:pPr>
      <w:r>
        <w:t xml:space="preserve">Sources: </w:t>
      </w:r>
      <w:hyperlink w:anchor="source_M16">
        <w:r>
          <w:rPr>
            <w:color w:val="275E67"/>
            <w:u w:val="single"/>
          </w:rPr>
          <w:t xml:space="preserve">M16</w:t>
        </w:r>
      </w:hyperlink>
      <w:r>
        <w:t xml:space="preserve">, </w:t>
      </w:r>
      <w:hyperlink w:anchor="source_P05">
        <w:r>
          <w:rPr>
            <w:color w:val="275E67"/>
            <w:u w:val="single"/>
          </w:rPr>
          <w:t xml:space="preserve">P05</w:t>
        </w:r>
      </w:hyperlink>
    </w:p>
    <w:p>
      <w:bookmarkStart w:id="43" w:name="chapter_partnerships"/>
      <w:pPr>
        <w:pStyle w:val="Heading1"/>
        <w:spacing w:before="360"/>
      </w:pPr>
      <w:r>
        <w:t>Local enterprise and partnerships</w:t>
      </w:r>
      <w:bookmarkEnd w:id="43"/>
    </w:p>
    <w:p>
      <w:pPr>
        <w:pStyle w:val="Lead"/>
      </w:pPr>
      <w:r>
        <w:t>Local ownership options, tourism connections and cultural authority.</w:t>
      </w:r>
    </w:p>
    <w:p>
      <w:bookmarkStart w:id="44" w:name="s_partnerships_Participation_an_099cdc"/>
      <w:pPr>
        <w:pStyle w:val="Heading2"/>
      </w:pPr>
      <w:r>
        <w:t>Participation and ownership</w:t>
      </w:r>
      <w:bookmarkEnd w:id="44"/>
    </w:p>
    <w:p>
      <w:pPr/>
      <w:r>
        <w:t>Existing operators can install rooms or join distribution. Tourism businesses can host or supply linked experiences. Makers, designers and trades can supply paid work. Co-operatives can own assets and employ people. Compare the actual ownership, prices and obligations of each arrangement.</w:t>
      </w:r>
    </w:p>
    <w:p>
      <w:pPr/>
      <w:r>
        <w:t>Mutual Futures offers a connection to succession and paid knowledge transfer. 500 Queens connects women-led enterprise and investment development. Councils and tourism bodies can contribute precinct information, premises evidence, event calendars and supplier connections.</w:t>
      </w:r>
    </w:p>
    <w:p>
      <w:pPr>
        <w:pStyle w:val="SourceNote"/>
      </w:pPr>
      <w:r>
        <w:t xml:space="preserve">Sources: </w:t>
      </w:r>
      <w:hyperlink w:anchor="source_P02">
        <w:r>
          <w:rPr>
            <w:color w:val="275E67"/>
            <w:u w:val="single"/>
          </w:rPr>
          <w:t xml:space="preserve">P02</w:t>
        </w:r>
      </w:hyperlink>
      <w:r>
        <w:t xml:space="preserve">, </w:t>
      </w:r>
      <w:hyperlink w:anchor="source_P03">
        <w:r>
          <w:rPr>
            <w:color w:val="275E67"/>
            <w:u w:val="single"/>
          </w:rPr>
          <w:t xml:space="preserve">P03</w:t>
        </w:r>
      </w:hyperlink>
      <w:r>
        <w:t xml:space="preserve">, </w:t>
      </w:r>
      <w:hyperlink w:anchor="source_M06">
        <w:r>
          <w:rPr>
            <w:color w:val="275E67"/>
            <w:u w:val="single"/>
          </w:rPr>
          <w:t xml:space="preserve">M06</w:t>
        </w:r>
      </w:hyperlink>
    </w:p>
    <w:p>
      <w:bookmarkStart w:id="45" w:name="s_partnerships_Place_learning_a_2e95e0"/>
      <w:pPr>
        <w:pStyle w:val="Heading2"/>
      </w:pPr>
      <w:r>
        <w:t>Place learning and access</w:t>
      </w:r>
      <w:bookmarkEnd w:id="45"/>
    </w:p>
    <w:p>
      <w:pPr/>
      <w:r>
        <w:t>Local stories and cultural material require the relevant authority, payment, attribution and reuse terms. Personal Aura records remain controlled by their people. p4a-xyz-cinema can connect public explanations and scenarios about collective decisions without requiring political agreement.</w:t>
      </w:r>
    </w:p>
    <w:p>
      <w:pPr/>
      <w:r>
        <w:t>School, youth, adaptive-support and teacher sources inform whole-life learning. Oceania co-operative and 82 Claytons proposals supply related place and intergenerational concepts. Funded access is costed as actual purchased admissions; voluntary C-Hour recognition remains separate.</w:t>
      </w:r>
    </w:p>
    <w:p>
      <w:pPr>
        <w:pStyle w:val="SourceNote"/>
      </w:pPr>
      <w:r>
        <w:t xml:space="preserve">Sources: </w:t>
      </w:r>
      <w:hyperlink w:anchor="source_D03">
        <w:r>
          <w:rPr>
            <w:color w:val="275E67"/>
            <w:u w:val="single"/>
          </w:rPr>
          <w:t xml:space="preserve">D03</w:t>
        </w:r>
      </w:hyperlink>
      <w:r>
        <w:t xml:space="preserve">, </w:t>
      </w:r>
      <w:hyperlink w:anchor="source_D04">
        <w:r>
          <w:rPr>
            <w:color w:val="275E67"/>
            <w:u w:val="single"/>
          </w:rPr>
          <w:t xml:space="preserve">D04</w:t>
        </w:r>
      </w:hyperlink>
      <w:r>
        <w:t xml:space="preserve">, </w:t>
      </w:r>
      <w:hyperlink w:anchor="source_D05">
        <w:r>
          <w:rPr>
            <w:color w:val="275E67"/>
            <w:u w:val="single"/>
          </w:rPr>
          <w:t xml:space="preserve">D05</w:t>
        </w:r>
      </w:hyperlink>
      <w:r>
        <w:t xml:space="preserve">, </w:t>
      </w:r>
      <w:hyperlink w:anchor="source_D07">
        <w:r>
          <w:rPr>
            <w:color w:val="275E67"/>
            <w:u w:val="single"/>
          </w:rPr>
          <w:t xml:space="preserve">D07</w:t>
        </w:r>
      </w:hyperlink>
      <w:r>
        <w:t xml:space="preserve">, </w:t>
      </w:r>
      <w:hyperlink w:anchor="source_D15">
        <w:r>
          <w:rPr>
            <w:color w:val="275E67"/>
            <w:u w:val="single"/>
          </w:rPr>
          <w:t xml:space="preserve">D15</w:t>
        </w:r>
      </w:hyperlink>
      <w:r>
        <w:t xml:space="preserve">, </w:t>
      </w:r>
      <w:hyperlink w:anchor="source_P09">
        <w:r>
          <w:rPr>
            <w:color w:val="275E67"/>
            <w:u w:val="single"/>
          </w:rPr>
          <w:t xml:space="preserve">P09</w:t>
        </w:r>
      </w:hyperlink>
      <w:r>
        <w:t xml:space="preserve">, </w:t>
      </w:r>
      <w:hyperlink w:anchor="source_P10">
        <w:r>
          <w:rPr>
            <w:color w:val="275E67"/>
            <w:u w:val="single"/>
          </w:rPr>
          <w:t xml:space="preserve">P10</w:t>
        </w:r>
      </w:hyperlink>
      <w:r>
        <w:t xml:space="preserve">, </w:t>
      </w:r>
      <w:hyperlink w:anchor="source_P12">
        <w:r>
          <w:rPr>
            <w:color w:val="275E67"/>
            <w:u w:val="single"/>
          </w:rPr>
          <w:t xml:space="preserve">P12</w:t>
        </w:r>
      </w:hyperlink>
      <w:r>
        <w:t xml:space="preserve">, </w:t>
      </w:r>
      <w:hyperlink w:anchor="source_P13">
        <w:r>
          <w:rPr>
            <w:color w:val="275E67"/>
            <w:u w:val="single"/>
          </w:rPr>
          <w:t xml:space="preserve">P13</w:t>
        </w:r>
      </w:hyperlink>
    </w:p>
    <w:p>
      <w:bookmarkStart w:id="46" w:name="chapter_roadmap"/>
      <w:pPr>
        <w:pStyle w:val="Heading1"/>
        <w:spacing w:before="360"/>
      </w:pPr>
      <w:r>
        <w:t>Research priorities</w:t>
      </w:r>
      <w:bookmarkEnd w:id="46"/>
    </w:p>
    <w:p>
      <w:pPr>
        <w:pStyle w:val="Lead"/>
      </w:pPr>
      <w:r>
        <w:t>Evidence needed to develop a room location or network offer.</w:t>
      </w:r>
    </w:p>
    <w:p>
      <w:bookmarkStart w:id="47" w:name="s_roadmap_Questions_for_the_nex_1d21e9"/>
      <w:pPr>
        <w:pStyle w:val="Heading2"/>
      </w:pPr>
      <w:r>
        <w:t>Questions for the next round</w:t>
      </w:r>
      <w:bookmarkEnd w:id="47"/>
    </w:p>
    <w:tbl>
      <w:tblPr>
        <w:tblW w:type="dxa" w:w="10152"/>
        <w:jc w:val="center"/>
        <w:tblLayout w:type="fixed"/>
        <w:tblLook w:firstColumn="1" w:firstRow="1" w:lastColumn="0" w:lastRow="0" w:noHBand="0" w:noVBand="1" w:val="04A0"/>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95" w:type="dxa"/>
          <w:bottom w:w="85" w:type="dxa"/>
          <w:right w:w="95" w:type="dxa"/>
        </w:tblCellMar>
      </w:tblPr>
      <w:tblGrid>
        <w:gridCol w:w="3668"/>
        <w:gridCol w:w="6484"/>
      </w:tblGrid>
      <w:tr>
        <w:trPr>
          <w:cantSplit/>
          <w:tblHeader w:val="true"/>
        </w:trPr>
        <w:tc>
          <w:tcPr>
            <w:tcW w:type="dxa" w:w="3668"/>
            <w:vAlign w:val="center"/>
            <w:shd w:fill="203B4C"/>
          </w:tcPr>
          <w:p>
            <w:pPr>
              <w:pStyle w:val="TableHead"/>
              <w:keepNext/>
              <w:keepLines/>
            </w:pPr>
            <w:r>
              <w:rPr>
                <w:color w:val="FFFFFF"/>
              </w:rPr>
              <w:t>Question</w:t>
            </w:r>
          </w:p>
        </w:tc>
        <w:tc>
          <w:tcPr>
            <w:tcW w:type="dxa" w:w="6484"/>
            <w:vAlign w:val="center"/>
            <w:shd w:fill="203B4C"/>
          </w:tcPr>
          <w:p>
            <w:pPr>
              <w:pStyle w:val="TableHead"/>
              <w:keepNext/>
              <w:keepLines/>
            </w:pPr>
            <w:r>
              <w:rPr>
                <w:color w:val="FFFFFF"/>
              </w:rPr>
              <w:t>Evidence to obtain</w:t>
            </w:r>
          </w:p>
        </w:tc>
      </w:tr>
      <w:tr>
        <w:trPr>
          <w:cantSplit/>
        </w:trPr>
        <w:tc>
          <w:tcPr>
            <w:tcW w:type="dxa" w:w="3668"/>
            <w:vAlign w:val="top"/>
            <w:shd w:fill="EDF2EE"/>
          </w:tcPr>
          <w:p>
            <w:pPr>
              <w:pStyle w:val="TableText"/>
              <w:keepNext w:val="0"/>
              <w:keepLines/>
            </w:pPr>
            <w:r>
              <w:t>Which customers will book and return?</w:t>
            </w:r>
          </w:p>
        </w:tc>
        <w:tc>
          <w:tcPr>
            <w:tcW w:type="dxa" w:w="6484"/>
            <w:vAlign w:val="top"/>
            <w:shd w:fill="EDF2EE"/>
          </w:tcPr>
          <w:p>
            <w:pPr>
              <w:pStyle w:val="TableText"/>
              <w:keepNext w:val="0"/>
              <w:keepLines/>
            </w:pPr>
            <w:r>
              <w:t>Responses to actual offers, local booking availability, acquisition costs and repeat use.</w:t>
            </w:r>
          </w:p>
        </w:tc>
      </w:tr>
      <w:tr>
        <w:trPr>
          <w:cantSplit/>
        </w:trPr>
        <w:tc>
          <w:tcPr>
            <w:tcW w:type="dxa" w:w="3668"/>
            <w:vAlign w:val="top"/>
            <w:shd w:fill="FFFFFF"/>
          </w:tcPr>
          <w:p>
            <w:pPr>
              <w:pStyle w:val="TableText"/>
              <w:keepNext w:val="0"/>
              <w:keepLines/>
            </w:pPr>
            <w:r>
              <w:t>Which format fits?</w:t>
            </w:r>
          </w:p>
        </w:tc>
        <w:tc>
          <w:tcPr>
            <w:tcW w:type="dxa" w:w="6484"/>
            <w:vAlign w:val="top"/>
            <w:shd w:fill="FFFFFF"/>
          </w:tcPr>
          <w:p>
            <w:pPr>
              <w:pStyle w:val="TableText"/>
              <w:keepNext w:val="0"/>
              <w:keepLines/>
            </w:pPr>
            <w:r>
              <w:t>Measured rooms and support space, access, recording opt-out design and peak staffing.</w:t>
            </w:r>
          </w:p>
        </w:tc>
      </w:tr>
      <w:tr>
        <w:trPr>
          <w:cantSplit/>
        </w:trPr>
        <w:tc>
          <w:tcPr>
            <w:tcW w:type="dxa" w:w="3668"/>
            <w:vAlign w:val="top"/>
            <w:shd w:fill="EDF2EE"/>
          </w:tcPr>
          <w:p>
            <w:pPr>
              <w:pStyle w:val="TableText"/>
              <w:keepNext w:val="0"/>
              <w:keepLines/>
            </w:pPr>
            <w:r>
              <w:t>What does delivery cost?</w:t>
            </w:r>
          </w:p>
        </w:tc>
        <w:tc>
          <w:tcPr>
            <w:tcW w:type="dxa" w:w="6484"/>
            <w:vAlign w:val="top"/>
            <w:shd w:fill="EDF2EE"/>
          </w:tcPr>
          <w:p>
            <w:pPr>
              <w:pStyle w:val="TableText"/>
              <w:keepNext w:val="0"/>
              <w:keepLines/>
            </w:pPr>
            <w:r>
              <w:t>Comparable scopes, dated prices, delivered new/used options, paid hours and payment terms.</w:t>
            </w:r>
          </w:p>
        </w:tc>
      </w:tr>
      <w:tr>
        <w:trPr>
          <w:cantSplit/>
        </w:trPr>
        <w:tc>
          <w:tcPr>
            <w:tcW w:type="dxa" w:w="3668"/>
            <w:vAlign w:val="top"/>
            <w:shd w:fill="FFFFFF"/>
          </w:tcPr>
          <w:p>
            <w:pPr>
              <w:pStyle w:val="TableText"/>
              <w:keepNext w:val="0"/>
              <w:keepLines/>
            </w:pPr>
            <w:r>
              <w:t>Does the learning method work?</w:t>
            </w:r>
          </w:p>
        </w:tc>
        <w:tc>
          <w:tcPr>
            <w:tcW w:type="dxa" w:w="6484"/>
            <w:vAlign w:val="top"/>
            <w:shd w:fill="FFFFFF"/>
          </w:tcPr>
          <w:p>
            <w:pPr>
              <w:pStyle w:val="TableText"/>
              <w:keepNext w:val="0"/>
              <w:keepLines/>
            </w:pPr>
            <w:r>
              <w:t>Independent play, recording quality, review time, participant accounts and transfer into a different task.</w:t>
            </w:r>
          </w:p>
        </w:tc>
      </w:tr>
      <w:tr>
        <w:trPr>
          <w:cantSplit/>
        </w:trPr>
        <w:tc>
          <w:tcPr>
            <w:tcW w:type="dxa" w:w="3668"/>
            <w:vAlign w:val="top"/>
            <w:shd w:fill="EDF2EE"/>
          </w:tcPr>
          <w:p>
            <w:pPr>
              <w:pStyle w:val="TableText"/>
              <w:keepNext w:val="0"/>
              <w:keepLines/>
            </w:pPr>
            <w:r>
              <w:t>Does another location add value?</w:t>
            </w:r>
          </w:p>
        </w:tc>
        <w:tc>
          <w:tcPr>
            <w:tcW w:type="dxa" w:w="6484"/>
            <w:vAlign w:val="top"/>
            <w:shd w:fill="EDF2EE"/>
          </w:tcPr>
          <w:p>
            <w:pPr>
              <w:pStyle w:val="TableText"/>
              <w:keepNext w:val="0"/>
              <w:keepLines/>
            </w:pPr>
            <w:r>
              <w:t>Its own demand and costs, usable JIT records, distinctive content and redeemed cross-venue bookings.</w:t>
            </w:r>
          </w:p>
        </w:tc>
      </w:tr>
    </w:tbl>
    <w:p>
      <w:pPr>
        <w:spacing w:after="20" w:before="0" w:line="240" w:lineRule="auto"/>
      </w:pPr>
      <w:r>
        <w:rPr>
          <w:sz w:val="6"/>
        </w:rPr>
      </w:r>
    </w:p>
    <w:p>
      <w:pPr/>
      <w:r>
        <w:t xml:space="preserve">An operating test would answer a defined subset of these questions. Its scope and duration follow the question and cost. No opening date or rollout schedule is established. The </w:t>
      </w:r>
      <w:hyperlink r:id="rId23">
        <w:r>
          <w:rPr>
            <w:color w:val="275E67"/>
            <w:u w:val="single"/>
          </w:rPr>
          <w:t xml:space="preserve">research register</w:t>
        </w:r>
      </w:hyperlink>
      <w:r>
        <w:t xml:space="preserve"> records the resulting choices.</w:t>
      </w:r>
    </w:p>
    <w:p>
      <w:bookmarkStart w:id="48" w:name="source_register"/>
      <w:pPr>
        <w:pStyle w:val="Heading1"/>
        <w:pageBreakBefore/>
      </w:pPr>
      <w:r>
        <w:t>Sources and project inventory</w:t>
      </w:r>
      <w:bookmarkEnd w:id="48"/>
    </w:p>
    <w:p>
      <w:r>
        <w:t>Source checks and advertised prices are recorded below. No supplier quotations were requested. Original documents and full notes are linked.</w:t>
      </w:r>
    </w:p>
    <w:p>
      <w:pPr>
        <w:pStyle w:val="SourceNote"/>
      </w:pPr>
      <w:hyperlink r:id="rId24">
        <w:r>
          <w:rPr>
            <w:color w:val="275E67"/>
            <w:u w:val="single"/>
          </w:rPr>
          <w:t xml:space="preserve">Complete source register</w:t>
        </w:r>
      </w:hyperlink>
      <w:r>
        <w:t xml:space="preserve">  |  </w:t>
      </w:r>
      <w:hyperlink r:id="rId25">
        <w:r>
          <w:rPr>
            <w:color w:val="275E67"/>
            <w:u w:val="single"/>
          </w:rPr>
          <w:t xml:space="preserve">Full inherited embedded-link inventory</w:t>
        </w:r>
      </w:hyperlink>
    </w:p>
    <w:p>
      <w:pPr>
        <w:pStyle w:val="Heading2"/>
      </w:pPr>
      <w:r>
        <w:t>Original documents</w:t>
      </w:r>
    </w:p>
    <w:p>
      <w:bookmarkStart w:id="49" w:name="source_D01"/>
      <w:pPr>
        <w:pStyle w:val="SourceTitle"/>
      </w:pPr>
      <w:r>
        <w:t>D01  A Fair Go for the AI Age: Postcode-Level Sovereign Compute</w:t>
      </w:r>
      <w:bookmarkEnd w:id="49"/>
    </w:p>
    <w:p>
      <w:pPr>
        <w:pStyle w:val="SourceNote"/>
      </w:pPr>
      <w:hyperlink r:id="rId26">
        <w:r>
          <w:rPr>
            <w:color w:val="275E67"/>
            <w:u w:val="single"/>
          </w:rPr>
          <w:t xml:space="preserve">Original DOCX</w:t>
        </w:r>
      </w:hyperlink>
      <w:r>
        <w:t xml:space="preserve">  |  </w:t>
      </w:r>
      <w:hyperlink r:id="rId27">
        <w:r>
          <w:rPr>
            <w:color w:val="275E67"/>
            <w:u w:val="single"/>
          </w:rPr>
          <w:t xml:space="preserve">Online reader</w:t>
        </w:r>
      </w:hyperlink>
      <w:r>
        <w:t xml:space="preserve">  |  </w:t>
      </w:r>
      <w:hyperlink r:id="rId28">
        <w:r>
          <w:rPr>
            <w:color w:val="275E67"/>
            <w:u w:val="single"/>
          </w:rPr>
          <w:t xml:space="preserve">Archived source</w:t>
        </w:r>
      </w:hyperlink>
    </w:p>
    <w:p>
      <w:bookmarkStart w:id="50" w:name="source_D02"/>
      <w:pPr>
        <w:pStyle w:val="SourceTitle"/>
      </w:pPr>
      <w:r>
        <w:t>D02  AUKUS Public Inquiry Submission</w:t>
      </w:r>
      <w:bookmarkEnd w:id="50"/>
    </w:p>
    <w:p>
      <w:pPr>
        <w:pStyle w:val="SourceNote"/>
      </w:pPr>
      <w:hyperlink r:id="rId29">
        <w:r>
          <w:rPr>
            <w:color w:val="275E67"/>
            <w:u w:val="single"/>
          </w:rPr>
          <w:t xml:space="preserve">Original DOCX</w:t>
        </w:r>
      </w:hyperlink>
      <w:r>
        <w:t xml:space="preserve">  |  </w:t>
      </w:r>
      <w:hyperlink r:id="rId30">
        <w:r>
          <w:rPr>
            <w:color w:val="275E67"/>
            <w:u w:val="single"/>
          </w:rPr>
          <w:t xml:space="preserve">Online reader</w:t>
        </w:r>
      </w:hyperlink>
      <w:r>
        <w:t xml:space="preserve">  |  </w:t>
      </w:r>
      <w:hyperlink r:id="rId31">
        <w:r>
          <w:rPr>
            <w:color w:val="275E67"/>
            <w:u w:val="single"/>
          </w:rPr>
          <w:t xml:space="preserve">Archived source</w:t>
        </w:r>
      </w:hyperlink>
    </w:p>
    <w:p>
      <w:bookmarkStart w:id="51" w:name="source_D03"/>
      <w:pPr>
        <w:pStyle w:val="SourceTitle"/>
      </w:pPr>
      <w:r>
        <w:t>D03  Aura Genesis for Children and Young People in Australian Care</w:t>
      </w:r>
      <w:bookmarkEnd w:id="51"/>
    </w:p>
    <w:p>
      <w:pPr>
        <w:pStyle w:val="SourceNote"/>
      </w:pPr>
      <w:hyperlink r:id="rId32">
        <w:r>
          <w:rPr>
            <w:color w:val="275E67"/>
            <w:u w:val="single"/>
          </w:rPr>
          <w:t xml:space="preserve">Original DOCX</w:t>
        </w:r>
      </w:hyperlink>
      <w:r>
        <w:t xml:space="preserve">  |  </w:t>
      </w:r>
      <w:hyperlink r:id="rId33">
        <w:r>
          <w:rPr>
            <w:color w:val="275E67"/>
            <w:u w:val="single"/>
          </w:rPr>
          <w:t xml:space="preserve">Online reader</w:t>
        </w:r>
      </w:hyperlink>
      <w:r>
        <w:t xml:space="preserve">  |  </w:t>
      </w:r>
      <w:hyperlink r:id="rId34">
        <w:r>
          <w:rPr>
            <w:color w:val="275E67"/>
            <w:u w:val="single"/>
          </w:rPr>
          <w:t xml:space="preserve">Archived source</w:t>
        </w:r>
      </w:hyperlink>
    </w:p>
    <w:p>
      <w:bookmarkStart w:id="52" w:name="source_D04"/>
      <w:pPr>
        <w:pStyle w:val="SourceTitle"/>
      </w:pPr>
      <w:r>
        <w:t>D04  Aura Genesis Geode Development, Edition 3</w:t>
      </w:r>
      <w:bookmarkEnd w:id="52"/>
    </w:p>
    <w:p>
      <w:pPr>
        <w:pStyle w:val="SourceNote"/>
      </w:pPr>
      <w:hyperlink r:id="rId35">
        <w:r>
          <w:rPr>
            <w:color w:val="275E67"/>
            <w:u w:val="single"/>
          </w:rPr>
          <w:t xml:space="preserve">Original PDF</w:t>
        </w:r>
      </w:hyperlink>
      <w:r>
        <w:t xml:space="preserve">  |  </w:t>
      </w:r>
      <w:hyperlink r:id="rId36">
        <w:r>
          <w:rPr>
            <w:color w:val="275E67"/>
            <w:u w:val="single"/>
          </w:rPr>
          <w:t xml:space="preserve">Online reader</w:t>
        </w:r>
      </w:hyperlink>
      <w:r>
        <w:t xml:space="preserve">  |  </w:t>
      </w:r>
      <w:hyperlink r:id="rId37">
        <w:r>
          <w:rPr>
            <w:color w:val="275E67"/>
            <w:u w:val="single"/>
          </w:rPr>
          <w:t xml:space="preserve">Archived source</w:t>
        </w:r>
      </w:hyperlink>
    </w:p>
    <w:p>
      <w:bookmarkStart w:id="53" w:name="source_D05"/>
      <w:pPr>
        <w:pStyle w:val="SourceTitle"/>
      </w:pPr>
      <w:r>
        <w:t>D05  Aura Teacher Training: 60 Days</w:t>
      </w:r>
      <w:bookmarkEnd w:id="53"/>
    </w:p>
    <w:p>
      <w:pPr>
        <w:pStyle w:val="SourceNote"/>
      </w:pPr>
      <w:hyperlink r:id="rId38">
        <w:r>
          <w:rPr>
            <w:color w:val="275E67"/>
            <w:u w:val="single"/>
          </w:rPr>
          <w:t xml:space="preserve">Original PDF</w:t>
        </w:r>
      </w:hyperlink>
      <w:r>
        <w:t xml:space="preserve">  |  </w:t>
      </w:r>
      <w:hyperlink r:id="rId39">
        <w:r>
          <w:rPr>
            <w:color w:val="275E67"/>
            <w:u w:val="single"/>
          </w:rPr>
          <w:t xml:space="preserve">Online reader</w:t>
        </w:r>
      </w:hyperlink>
      <w:r>
        <w:t xml:space="preserve">  |  </w:t>
      </w:r>
      <w:hyperlink r:id="rId40">
        <w:r>
          <w:rPr>
            <w:color w:val="275E67"/>
            <w:u w:val="single"/>
          </w:rPr>
          <w:t xml:space="preserve">Archived source</w:t>
        </w:r>
      </w:hyperlink>
    </w:p>
    <w:p>
      <w:bookmarkStart w:id="54" w:name="source_D06"/>
      <w:pPr>
        <w:pStyle w:val="SourceTitle"/>
      </w:pPr>
      <w:r>
        <w:t>D06  Aura of Intelligence for Adaptive Whole-of-Life Support</w:t>
      </w:r>
      <w:bookmarkEnd w:id="54"/>
    </w:p>
    <w:p>
      <w:pPr>
        <w:pStyle w:val="SourceNote"/>
      </w:pPr>
      <w:hyperlink r:id="rId41">
        <w:r>
          <w:rPr>
            <w:color w:val="275E67"/>
            <w:u w:val="single"/>
          </w:rPr>
          <w:t xml:space="preserve">Original DOCX</w:t>
        </w:r>
      </w:hyperlink>
      <w:r>
        <w:t xml:space="preserve">  |  </w:t>
      </w:r>
      <w:hyperlink r:id="rId42">
        <w:r>
          <w:rPr>
            <w:color w:val="275E67"/>
            <w:u w:val="single"/>
          </w:rPr>
          <w:t xml:space="preserve">Online reader</w:t>
        </w:r>
      </w:hyperlink>
      <w:r>
        <w:t xml:space="preserve">  |  </w:t>
      </w:r>
      <w:hyperlink r:id="rId43">
        <w:r>
          <w:rPr>
            <w:color w:val="275E67"/>
            <w:u w:val="single"/>
          </w:rPr>
          <w:t xml:space="preserve">Archived source</w:t>
        </w:r>
      </w:hyperlink>
    </w:p>
    <w:p>
      <w:bookmarkStart w:id="55" w:name="source_D07"/>
      <w:pPr>
        <w:pStyle w:val="SourceTitle"/>
      </w:pPr>
      <w:r>
        <w:t>D07  Aura of Intelligence for Tourism and Domestic Travel</w:t>
      </w:r>
      <w:bookmarkEnd w:id="55"/>
    </w:p>
    <w:p>
      <w:pPr>
        <w:pStyle w:val="SourceNote"/>
      </w:pPr>
      <w:hyperlink r:id="rId44">
        <w:r>
          <w:rPr>
            <w:color w:val="275E67"/>
            <w:u w:val="single"/>
          </w:rPr>
          <w:t xml:space="preserve">Original DOCX</w:t>
        </w:r>
      </w:hyperlink>
      <w:r>
        <w:t xml:space="preserve">  |  </w:t>
      </w:r>
      <w:hyperlink r:id="rId45">
        <w:r>
          <w:rPr>
            <w:color w:val="275E67"/>
            <w:u w:val="single"/>
          </w:rPr>
          <w:t xml:space="preserve">Online reader</w:t>
        </w:r>
      </w:hyperlink>
      <w:r>
        <w:t xml:space="preserve">  |  </w:t>
      </w:r>
      <w:hyperlink r:id="rId46">
        <w:r>
          <w:rPr>
            <w:color w:val="275E67"/>
            <w:u w:val="single"/>
          </w:rPr>
          <w:t xml:space="preserve">Archived source</w:t>
        </w:r>
      </w:hyperlink>
    </w:p>
    <w:p>
      <w:bookmarkStart w:id="56" w:name="source_D08"/>
      <w:pPr>
        <w:pStyle w:val="SourceTitle"/>
      </w:pPr>
      <w:r>
        <w:t>D08  Building an Australian Legal RAG System</w:t>
      </w:r>
      <w:bookmarkEnd w:id="56"/>
    </w:p>
    <w:p>
      <w:pPr>
        <w:pStyle w:val="SourceNote"/>
      </w:pPr>
      <w:hyperlink r:id="rId47">
        <w:r>
          <w:rPr>
            <w:color w:val="275E67"/>
            <w:u w:val="single"/>
          </w:rPr>
          <w:t xml:space="preserve">Original PDF</w:t>
        </w:r>
      </w:hyperlink>
      <w:r>
        <w:t xml:space="preserve">  |  </w:t>
      </w:r>
      <w:hyperlink r:id="rId48">
        <w:r>
          <w:rPr>
            <w:color w:val="275E67"/>
            <w:u w:val="single"/>
          </w:rPr>
          <w:t xml:space="preserve">Online reader</w:t>
        </w:r>
      </w:hyperlink>
      <w:r>
        <w:t xml:space="preserve">  |  </w:t>
      </w:r>
      <w:hyperlink r:id="rId49">
        <w:r>
          <w:rPr>
            <w:color w:val="275E67"/>
            <w:u w:val="single"/>
          </w:rPr>
          <w:t xml:space="preserve">Archived source</w:t>
        </w:r>
      </w:hyperlink>
    </w:p>
    <w:p>
      <w:bookmarkStart w:id="57" w:name="source_D09"/>
      <w:pPr>
        <w:pStyle w:val="SourceTitle"/>
      </w:pPr>
      <w:r>
        <w:t>D09  Do Not Put All Our Eggs in One Basket</w:t>
      </w:r>
      <w:bookmarkEnd w:id="57"/>
    </w:p>
    <w:p>
      <w:pPr>
        <w:pStyle w:val="SourceNote"/>
      </w:pPr>
      <w:hyperlink r:id="rId50">
        <w:r>
          <w:rPr>
            <w:color w:val="275E67"/>
            <w:u w:val="single"/>
          </w:rPr>
          <w:t xml:space="preserve">Original DOCX</w:t>
        </w:r>
      </w:hyperlink>
      <w:r>
        <w:t xml:space="preserve">  |  </w:t>
      </w:r>
      <w:hyperlink r:id="rId51">
        <w:r>
          <w:rPr>
            <w:color w:val="275E67"/>
            <w:u w:val="single"/>
          </w:rPr>
          <w:t xml:space="preserve">Online reader</w:t>
        </w:r>
      </w:hyperlink>
      <w:r>
        <w:t xml:space="preserve">  |  </w:t>
      </w:r>
      <w:hyperlink r:id="rId52">
        <w:r>
          <w:rPr>
            <w:color w:val="275E67"/>
            <w:u w:val="single"/>
          </w:rPr>
          <w:t xml:space="preserve">Archived source</w:t>
        </w:r>
      </w:hyperlink>
    </w:p>
    <w:p>
      <w:bookmarkStart w:id="58" w:name="source_D10"/>
      <w:pPr>
        <w:pStyle w:val="SourceTitle"/>
      </w:pPr>
      <w:r>
        <w:t>D10  Fiji–Australia Vuvale Union Submission</w:t>
      </w:r>
      <w:bookmarkEnd w:id="58"/>
    </w:p>
    <w:p>
      <w:pPr>
        <w:pStyle w:val="SourceNote"/>
      </w:pPr>
      <w:hyperlink r:id="rId53">
        <w:r>
          <w:rPr>
            <w:color w:val="275E67"/>
            <w:u w:val="single"/>
          </w:rPr>
          <w:t xml:space="preserve">Original DOCX</w:t>
        </w:r>
      </w:hyperlink>
      <w:r>
        <w:t xml:space="preserve">  |  </w:t>
      </w:r>
      <w:hyperlink r:id="rId54">
        <w:r>
          <w:rPr>
            <w:color w:val="275E67"/>
            <w:u w:val="single"/>
          </w:rPr>
          <w:t xml:space="preserve">Online reader</w:t>
        </w:r>
      </w:hyperlink>
      <w:r>
        <w:t xml:space="preserve">  |  </w:t>
      </w:r>
      <w:hyperlink r:id="rId55">
        <w:r>
          <w:rPr>
            <w:color w:val="275E67"/>
            <w:u w:val="single"/>
          </w:rPr>
          <w:t xml:space="preserve">Archived source</w:t>
        </w:r>
      </w:hyperlink>
    </w:p>
    <w:p>
      <w:bookmarkStart w:id="59" w:name="source_D11"/>
      <w:pPr>
        <w:pStyle w:val="SourceTitle"/>
      </w:pPr>
      <w:r>
        <w:t>D11  Local Government Funding Inquiry Submission</w:t>
      </w:r>
      <w:bookmarkEnd w:id="59"/>
    </w:p>
    <w:p>
      <w:pPr>
        <w:pStyle w:val="SourceNote"/>
      </w:pPr>
      <w:r>
        <w:t>Exact original unavailable in the inherited archive. See the source entry for the available edition.</w:t>
      </w:r>
    </w:p>
    <w:p>
      <w:bookmarkStart w:id="60" w:name="source_D12"/>
      <w:pPr>
        <w:pStyle w:val="SourceTitle"/>
      </w:pPr>
      <w:r>
        <w:t>D12  Ocean of Peace Alliance / Veitacini Treaty Submission</w:t>
      </w:r>
      <w:bookmarkEnd w:id="60"/>
    </w:p>
    <w:p>
      <w:pPr>
        <w:pStyle w:val="SourceNote"/>
      </w:pPr>
      <w:hyperlink r:id="rId56">
        <w:r>
          <w:rPr>
            <w:color w:val="275E67"/>
            <w:u w:val="single"/>
          </w:rPr>
          <w:t xml:space="preserve">Original DOCX</w:t>
        </w:r>
      </w:hyperlink>
      <w:r>
        <w:t xml:space="preserve">  |  </w:t>
      </w:r>
      <w:hyperlink r:id="rId57">
        <w:r>
          <w:rPr>
            <w:color w:val="275E67"/>
            <w:u w:val="single"/>
          </w:rPr>
          <w:t xml:space="preserve">Online reader</w:t>
        </w:r>
      </w:hyperlink>
      <w:r>
        <w:t xml:space="preserve">  |  </w:t>
      </w:r>
      <w:hyperlink r:id="rId58">
        <w:r>
          <w:rPr>
            <w:color w:val="275E67"/>
            <w:u w:val="single"/>
          </w:rPr>
          <w:t xml:space="preserve">Archived source</w:t>
        </w:r>
      </w:hyperlink>
    </w:p>
    <w:p>
      <w:bookmarkStart w:id="61" w:name="source_D13"/>
      <w:pPr>
        <w:pStyle w:val="SourceTitle"/>
      </w:pPr>
      <w:r>
        <w:t>D13  Ready SET Co-op: 2026 Strategy Archive</w:t>
      </w:r>
      <w:bookmarkEnd w:id="61"/>
    </w:p>
    <w:p>
      <w:pPr>
        <w:pStyle w:val="SourceNote"/>
      </w:pPr>
      <w:hyperlink r:id="rId59">
        <w:r>
          <w:rPr>
            <w:color w:val="275E67"/>
            <w:u w:val="single"/>
          </w:rPr>
          <w:t xml:space="preserve">Original PDF</w:t>
        </w:r>
      </w:hyperlink>
      <w:r>
        <w:t xml:space="preserve">  |  </w:t>
      </w:r>
      <w:hyperlink r:id="rId60">
        <w:r>
          <w:rPr>
            <w:color w:val="275E67"/>
            <w:u w:val="single"/>
          </w:rPr>
          <w:t xml:space="preserve">Online reader</w:t>
        </w:r>
      </w:hyperlink>
      <w:r>
        <w:t xml:space="preserve">  |  </w:t>
      </w:r>
      <w:hyperlink r:id="rId61">
        <w:r>
          <w:rPr>
            <w:color w:val="275E67"/>
            <w:u w:val="single"/>
          </w:rPr>
          <w:t xml:space="preserve">Archived source</w:t>
        </w:r>
      </w:hyperlink>
    </w:p>
    <w:p>
      <w:bookmarkStart w:id="62" w:name="source_D14"/>
      <w:pPr>
        <w:pStyle w:val="SourceTitle"/>
      </w:pPr>
      <w:r>
        <w:t>D14  Global Sensorium: Scientific Models and Debate</w:t>
      </w:r>
      <w:bookmarkEnd w:id="62"/>
    </w:p>
    <w:p>
      <w:pPr>
        <w:pStyle w:val="SourceNote"/>
      </w:pPr>
      <w:hyperlink r:id="rId62">
        <w:r>
          <w:rPr>
            <w:color w:val="275E67"/>
            <w:u w:val="single"/>
          </w:rPr>
          <w:t xml:space="preserve">Original PDF</w:t>
        </w:r>
      </w:hyperlink>
      <w:r>
        <w:t xml:space="preserve">  |  </w:t>
      </w:r>
      <w:hyperlink r:id="rId63">
        <w:r>
          <w:rPr>
            <w:color w:val="275E67"/>
            <w:u w:val="single"/>
          </w:rPr>
          <w:t xml:space="preserve">Online reader</w:t>
        </w:r>
      </w:hyperlink>
      <w:r>
        <w:t xml:space="preserve">  |  </w:t>
      </w:r>
      <w:hyperlink r:id="rId64">
        <w:r>
          <w:rPr>
            <w:color w:val="275E67"/>
            <w:u w:val="single"/>
          </w:rPr>
          <w:t xml:space="preserve">Archived source</w:t>
        </w:r>
      </w:hyperlink>
    </w:p>
    <w:p>
      <w:bookmarkStart w:id="63" w:name="source_D15"/>
      <w:pPr>
        <w:pStyle w:val="SourceTitle"/>
      </w:pPr>
      <w:r>
        <w:t>D15  Local Government Funding Inquiry Submission 2, public reference copy</w:t>
      </w:r>
      <w:bookmarkEnd w:id="63"/>
    </w:p>
    <w:p>
      <w:pPr>
        <w:pStyle w:val="SourceNote"/>
      </w:pPr>
      <w:hyperlink r:id="rId65">
        <w:r>
          <w:rPr>
            <w:color w:val="275E67"/>
            <w:u w:val="single"/>
          </w:rPr>
          <w:t xml:space="preserve">Original PDF</w:t>
        </w:r>
      </w:hyperlink>
      <w:r>
        <w:t xml:space="preserve">  |  </w:t>
      </w:r>
      <w:hyperlink r:id="rId66">
        <w:r>
          <w:rPr>
            <w:color w:val="275E67"/>
            <w:u w:val="single"/>
          </w:rPr>
          <w:t xml:space="preserve">Online reader</w:t>
        </w:r>
      </w:hyperlink>
      <w:r>
        <w:t xml:space="preserve">  |  </w:t>
      </w:r>
      <w:hyperlink r:id="rId67">
        <w:r>
          <w:rPr>
            <w:color w:val="275E67"/>
            <w:u w:val="single"/>
          </w:rPr>
          <w:t xml:space="preserve">Archived source</w:t>
        </w:r>
      </w:hyperlink>
    </w:p>
    <w:p>
      <w:pPr>
        <w:pStyle w:val="Heading2"/>
      </w:pPr>
      <w:r>
        <w:t>Connected projects and websites</w:t>
      </w:r>
    </w:p>
    <w:p>
      <w:bookmarkStart w:id="64" w:name="source_P01"/>
      <w:pPr>
        <w:pStyle w:val="SourceTitle"/>
      </w:pPr>
      <w:r>
        <w:t>P01  UNGA81: A fair go in the age of intelligence</w:t>
      </w:r>
      <w:bookmarkEnd w:id="64"/>
    </w:p>
    <w:p>
      <w:pPr>
        <w:pStyle w:val="SourceNote"/>
      </w:pPr>
      <w:hyperlink r:id="rId68">
        <w:r>
          <w:rPr>
            <w:color w:val="275E67"/>
            <w:u w:val="single"/>
          </w:rPr>
          <w:t xml:space="preserve">Open source</w:t>
        </w:r>
      </w:hyperlink>
    </w:p>
    <w:p>
      <w:bookmarkStart w:id="65" w:name="source_P02"/>
      <w:pPr>
        <w:pStyle w:val="SourceTitle"/>
      </w:pPr>
      <w:r>
        <w:t>P02  Ready SET Co-op Cultural Intelligence Node</w:t>
      </w:r>
      <w:bookmarkEnd w:id="65"/>
    </w:p>
    <w:p>
      <w:pPr>
        <w:pStyle w:val="SourceNote"/>
      </w:pPr>
      <w:hyperlink r:id="rId69">
        <w:r>
          <w:rPr>
            <w:color w:val="275E67"/>
            <w:u w:val="single"/>
          </w:rPr>
          <w:t xml:space="preserve">Open source</w:t>
        </w:r>
      </w:hyperlink>
    </w:p>
    <w:p>
      <w:bookmarkStart w:id="66" w:name="source_P03"/>
      <w:pPr>
        <w:pStyle w:val="SourceTitle"/>
      </w:pPr>
      <w:r>
        <w:t>P03  Ready SET Co-op Trust Hub</w:t>
      </w:r>
      <w:bookmarkEnd w:id="66"/>
    </w:p>
    <w:p>
      <w:pPr>
        <w:pStyle w:val="SourceNote"/>
      </w:pPr>
      <w:hyperlink r:id="rId70">
        <w:r>
          <w:rPr>
            <w:color w:val="275E67"/>
            <w:u w:val="single"/>
          </w:rPr>
          <w:t xml:space="preserve">Open source</w:t>
        </w:r>
      </w:hyperlink>
    </w:p>
    <w:p>
      <w:bookmarkStart w:id="67" w:name="source_P04"/>
      <w:pPr>
        <w:pStyle w:val="SourceTitle"/>
      </w:pPr>
      <w:r>
        <w:t>P04  500 Queens Venture Capital</w:t>
      </w:r>
      <w:bookmarkEnd w:id="67"/>
    </w:p>
    <w:p>
      <w:pPr>
        <w:pStyle w:val="SourceNote"/>
      </w:pPr>
      <w:hyperlink r:id="rId71">
        <w:r>
          <w:rPr>
            <w:color w:val="275E67"/>
            <w:u w:val="single"/>
          </w:rPr>
          <w:t xml:space="preserve">Open source</w:t>
        </w:r>
      </w:hyperlink>
    </w:p>
    <w:p>
      <w:bookmarkStart w:id="68" w:name="source_P05"/>
      <w:pPr>
        <w:pStyle w:val="SourceTitle"/>
      </w:pPr>
      <w:r>
        <w:t>P05  Mutual Futures</w:t>
      </w:r>
      <w:bookmarkEnd w:id="68"/>
    </w:p>
    <w:p>
      <w:pPr>
        <w:pStyle w:val="SourceNote"/>
      </w:pPr>
      <w:hyperlink r:id="rId72">
        <w:r>
          <w:rPr>
            <w:color w:val="275E67"/>
            <w:u w:val="single"/>
          </w:rPr>
          <w:t xml:space="preserve">Open source</w:t>
        </w:r>
      </w:hyperlink>
    </w:p>
    <w:p>
      <w:bookmarkStart w:id="69" w:name="source_P06"/>
      <w:pPr>
        <w:pStyle w:val="SourceTitle"/>
      </w:pPr>
      <w:r>
        <w:t>P06  Australian Law 2012 and Your Relevance</w:t>
      </w:r>
      <w:bookmarkEnd w:id="69"/>
    </w:p>
    <w:p>
      <w:pPr>
        <w:pStyle w:val="SourceNote"/>
      </w:pPr>
      <w:hyperlink r:id="rId73">
        <w:r>
          <w:rPr>
            <w:color w:val="275E67"/>
            <w:u w:val="single"/>
          </w:rPr>
          <w:t xml:space="preserve">Open source</w:t>
        </w:r>
      </w:hyperlink>
    </w:p>
    <w:p>
      <w:bookmarkStart w:id="70" w:name="source_P07"/>
      <w:pPr>
        <w:pStyle w:val="SourceTitle"/>
      </w:pPr>
      <w:r>
        <w:t>P07  Australian Legal Engine</w:t>
      </w:r>
      <w:bookmarkEnd w:id="70"/>
    </w:p>
    <w:p>
      <w:pPr>
        <w:pStyle w:val="SourceNote"/>
      </w:pPr>
      <w:hyperlink r:id="rId74">
        <w:r>
          <w:rPr>
            <w:color w:val="275E67"/>
            <w:u w:val="single"/>
          </w:rPr>
          <w:t xml:space="preserve">Open source</w:t>
        </w:r>
      </w:hyperlink>
    </w:p>
    <w:p>
      <w:bookmarkStart w:id="71" w:name="source_P08"/>
      <w:pPr>
        <w:pStyle w:val="SourceTitle"/>
      </w:pPr>
      <w:r>
        <w:t>P08  Legal Memory Workbench</w:t>
      </w:r>
      <w:bookmarkEnd w:id="71"/>
    </w:p>
    <w:p>
      <w:pPr>
        <w:pStyle w:val="SourceNote"/>
      </w:pPr>
      <w:hyperlink r:id="rId75">
        <w:r>
          <w:rPr>
            <w:color w:val="275E67"/>
            <w:u w:val="single"/>
          </w:rPr>
          <w:t xml:space="preserve">Open source</w:t>
        </w:r>
      </w:hyperlink>
    </w:p>
    <w:p>
      <w:bookmarkStart w:id="72" w:name="source_P09"/>
      <w:pPr>
        <w:pStyle w:val="SourceTitle"/>
      </w:pPr>
      <w:r>
        <w:t>P09  C-Hour Introduction</w:t>
      </w:r>
      <w:bookmarkEnd w:id="72"/>
    </w:p>
    <w:p>
      <w:pPr>
        <w:pStyle w:val="SourceNote"/>
      </w:pPr>
      <w:hyperlink r:id="rId76">
        <w:r>
          <w:rPr>
            <w:color w:val="275E67"/>
            <w:u w:val="single"/>
          </w:rPr>
          <w:t xml:space="preserve">Open source</w:t>
        </w:r>
      </w:hyperlink>
    </w:p>
    <w:p>
      <w:bookmarkStart w:id="73" w:name="source_P10"/>
      <w:pPr>
        <w:pStyle w:val="SourceTitle"/>
      </w:pPr>
      <w:r>
        <w:t>P10  P4A</w:t>
      </w:r>
      <w:bookmarkEnd w:id="73"/>
    </w:p>
    <w:p>
      <w:pPr>
        <w:pStyle w:val="SourceNote"/>
      </w:pPr>
      <w:hyperlink r:id="rId77">
        <w:r>
          <w:rPr>
            <w:color w:val="275E67"/>
            <w:u w:val="single"/>
          </w:rPr>
          <w:t xml:space="preserve">Open source</w:t>
        </w:r>
      </w:hyperlink>
    </w:p>
    <w:p>
      <w:bookmarkStart w:id="74" w:name="source_P11"/>
      <w:pPr>
        <w:pStyle w:val="SourceTitle"/>
      </w:pPr>
      <w:r>
        <w:t>P11  Aura Genesis Geode Atlas</w:t>
      </w:r>
      <w:bookmarkEnd w:id="74"/>
    </w:p>
    <w:p>
      <w:pPr>
        <w:pStyle w:val="SourceNote"/>
      </w:pPr>
      <w:hyperlink r:id="rId10">
        <w:r>
          <w:rPr>
            <w:color w:val="275E67"/>
            <w:u w:val="single"/>
          </w:rPr>
          <w:t xml:space="preserve">Open source</w:t>
        </w:r>
      </w:hyperlink>
    </w:p>
    <w:p>
      <w:bookmarkStart w:id="75" w:name="source_P12"/>
      <w:pPr>
        <w:pStyle w:val="SourceTitle"/>
      </w:pPr>
      <w:r>
        <w:t>P12  Oceania Healthy De-Slop Co-ops</w:t>
      </w:r>
      <w:bookmarkEnd w:id="75"/>
    </w:p>
    <w:p>
      <w:pPr>
        <w:pStyle w:val="SourceNote"/>
      </w:pPr>
      <w:hyperlink r:id="rId78">
        <w:r>
          <w:rPr>
            <w:color w:val="275E67"/>
            <w:u w:val="single"/>
          </w:rPr>
          <w:t xml:space="preserve">Open source</w:t>
        </w:r>
      </w:hyperlink>
    </w:p>
    <w:p>
      <w:bookmarkStart w:id="76" w:name="source_P13"/>
      <w:pPr>
        <w:pStyle w:val="SourceTitle"/>
      </w:pPr>
      <w:r>
        <w:t>P13  82 Claytons Road Anglican partnership proposal</w:t>
      </w:r>
      <w:bookmarkEnd w:id="76"/>
    </w:p>
    <w:p>
      <w:pPr>
        <w:pStyle w:val="SourceNote"/>
      </w:pPr>
      <w:hyperlink r:id="rId79">
        <w:r>
          <w:rPr>
            <w:color w:val="275E67"/>
            <w:u w:val="single"/>
          </w:rPr>
          <w:t xml:space="preserve">Open source</w:t>
        </w:r>
      </w:hyperlink>
    </w:p>
    <w:p>
      <w:bookmarkStart w:id="77" w:name="source_P14"/>
      <w:pPr>
        <w:pStyle w:val="SourceTitle"/>
      </w:pPr>
      <w:r>
        <w:t>P14  Installing the Missing Middle source repository</w:t>
      </w:r>
      <w:bookmarkEnd w:id="77"/>
    </w:p>
    <w:p>
      <w:pPr>
        <w:pStyle w:val="SourceNote"/>
      </w:pPr>
      <w:hyperlink r:id="rId80">
        <w:r>
          <w:rPr>
            <w:color w:val="275E67"/>
            <w:u w:val="single"/>
          </w:rPr>
          <w:t xml:space="preserve">Open source</w:t>
        </w:r>
      </w:hyperlink>
    </w:p>
    <w:p>
      <w:pPr>
        <w:pStyle w:val="Heading2"/>
      </w:pPr>
      <w:r>
        <w:t>Market and operating sources</w:t>
      </w:r>
    </w:p>
    <w:p>
      <w:bookmarkStart w:id="78" w:name="source_M01"/>
      <w:pPr>
        <w:pStyle w:val="SourceTitle"/>
      </w:pPr>
      <w:r>
        <w:t>M01  Tourism Research Australia national fast facts</w:t>
      </w:r>
      <w:bookmarkEnd w:id="78"/>
    </w:p>
    <w:p>
      <w:pPr>
        <w:pStyle w:val="RegisterText"/>
      </w:pPr>
      <w:r>
        <w:t>112.5 million overnight trips/$108.1 billion and 288.4 million day trips/$52.0 billion, year ending June 2026.</w:t>
      </w:r>
    </w:p>
    <w:p>
      <w:pPr>
        <w:pStyle w:val="SourceNote"/>
        <w:keepNext/>
      </w:pPr>
      <w:r>
        <w:t>Checked 30 Oct 2026</w:t>
      </w:r>
    </w:p>
    <w:p>
      <w:pPr>
        <w:pStyle w:val="SourceNote"/>
      </w:pPr>
      <w:hyperlink r:id="rId81">
        <w:r>
          <w:rPr>
            <w:color w:val="275E67"/>
            <w:u w:val="single"/>
          </w:rPr>
          <w:t xml:space="preserve">Open source</w:t>
        </w:r>
      </w:hyperlink>
    </w:p>
    <w:p>
      <w:bookmarkStart w:id="79" w:name="source_M02"/>
      <w:pPr>
        <w:pStyle w:val="SourceTitle"/>
      </w:pPr>
      <w:r>
        <w:t>M02  Domestic Tourism Statistics June quarter 2026</w:t>
      </w:r>
      <w:bookmarkEnd w:id="79"/>
    </w:p>
    <w:p>
      <w:pPr>
        <w:pStyle w:val="RegisterText"/>
      </w:pPr>
      <w:r>
        <w:t>Domestic statistics page retrieved; it reports June quarter 2026 separately from the annual homepage figures.</w:t>
      </w:r>
    </w:p>
    <w:p>
      <w:pPr>
        <w:pStyle w:val="SourceNote"/>
        <w:keepNext/>
      </w:pPr>
      <w:r>
        <w:t>Checked 29 Oct 2026</w:t>
      </w:r>
    </w:p>
    <w:p>
      <w:pPr>
        <w:pStyle w:val="SourceNote"/>
      </w:pPr>
      <w:hyperlink r:id="rId82">
        <w:r>
          <w:rPr>
            <w:color w:val="275E67"/>
            <w:u w:val="single"/>
          </w:rPr>
          <w:t xml:space="preserve">Open source</w:t>
        </w:r>
      </w:hyperlink>
    </w:p>
    <w:p>
      <w:bookmarkStart w:id="80" w:name="source_M03"/>
      <w:pPr>
        <w:pStyle w:val="SourceTitle"/>
      </w:pPr>
      <w:r>
        <w:t>M03  ABS Schools 2025</w:t>
      </w:r>
      <w:bookmarkEnd w:id="80"/>
    </w:p>
    <w:p>
      <w:pPr>
        <w:pStyle w:val="RegisterText"/>
      </w:pPr>
      <w:r>
        <w:t>2025: 4,160,918 students and 9,673 schools.</w:t>
      </w:r>
    </w:p>
    <w:p>
      <w:pPr>
        <w:pStyle w:val="SourceNote"/>
        <w:keepNext/>
      </w:pPr>
      <w:r>
        <w:t>Checked 30 Oct 2026</w:t>
      </w:r>
    </w:p>
    <w:p>
      <w:pPr>
        <w:pStyle w:val="SourceNote"/>
      </w:pPr>
      <w:hyperlink r:id="rId83">
        <w:r>
          <w:rPr>
            <w:color w:val="275E67"/>
            <w:u w:val="single"/>
          </w:rPr>
          <w:t xml:space="preserve">Open source</w:t>
        </w:r>
      </w:hyperlink>
    </w:p>
    <w:p>
      <w:bookmarkStart w:id="81" w:name="source_M04"/>
      <w:pPr>
        <w:pStyle w:val="SourceTitle"/>
      </w:pPr>
      <w:r>
        <w:t>M04  TRA Business events data</w:t>
      </w:r>
      <w:bookmarkEnd w:id="81"/>
    </w:p>
    <w:p>
      <w:pPr>
        <w:pStyle w:val="RegisterText"/>
      </w:pPr>
      <w:r>
        <w:t>2025 business-event visitor spending in Australia: $17.2 billion.</w:t>
      </w:r>
    </w:p>
    <w:p>
      <w:pPr>
        <w:pStyle w:val="SourceNote"/>
        <w:keepNext/>
      </w:pPr>
      <w:r>
        <w:t>Checked 30 Oct 2026</w:t>
      </w:r>
    </w:p>
    <w:p>
      <w:pPr>
        <w:pStyle w:val="SourceNote"/>
      </w:pPr>
      <w:hyperlink r:id="rId84">
        <w:r>
          <w:rPr>
            <w:color w:val="275E67"/>
            <w:u w:val="single"/>
          </w:rPr>
          <w:t xml:space="preserve">Open source</w:t>
        </w:r>
      </w:hyperlink>
    </w:p>
    <w:p>
      <w:bookmarkStart w:id="82" w:name="source_M05"/>
      <w:pPr>
        <w:pStyle w:val="SourceTitle"/>
      </w:pPr>
      <w:r>
        <w:t>M05  Tourism Australia travel distribution system</w:t>
      </w:r>
      <w:bookmarkEnd w:id="82"/>
    </w:p>
    <w:p>
      <w:pPr>
        <w:pStyle w:val="SourceNote"/>
        <w:keepNext/>
      </w:pPr>
      <w:r>
        <w:t>Unverified · Recorded 29 Oct 2026</w:t>
      </w:r>
    </w:p>
    <w:p>
      <w:pPr>
        <w:pStyle w:val="SourceNote"/>
      </w:pPr>
      <w:hyperlink r:id="rId85">
        <w:r>
          <w:rPr>
            <w:color w:val="275E67"/>
            <w:u w:val="single"/>
          </w:rPr>
          <w:t xml:space="preserve">Open source</w:t>
        </w:r>
      </w:hyperlink>
    </w:p>
    <w:p>
      <w:bookmarkStart w:id="83" w:name="source_M06"/>
      <w:pPr>
        <w:pStyle w:val="SourceTitle"/>
      </w:pPr>
      <w:r>
        <w:t>M06  Tourism Australia ATDW distribution</w:t>
      </w:r>
      <w:bookmarkEnd w:id="83"/>
    </w:p>
    <w:p>
      <w:pPr>
        <w:pStyle w:val="SourceNote"/>
        <w:keepNext/>
      </w:pPr>
      <w:r>
        <w:t>Unverified · Recorded 29 Oct 2026</w:t>
      </w:r>
    </w:p>
    <w:p>
      <w:pPr>
        <w:pStyle w:val="SourceNote"/>
      </w:pPr>
      <w:hyperlink r:id="rId86">
        <w:r>
          <w:rPr>
            <w:color w:val="275E67"/>
            <w:u w:val="single"/>
          </w:rPr>
          <w:t xml:space="preserve">Open source</w:t>
        </w:r>
      </w:hyperlink>
    </w:p>
    <w:p>
      <w:bookmarkStart w:id="84" w:name="source_M07"/>
      <w:pPr>
        <w:pStyle w:val="SourceTitle"/>
      </w:pPr>
      <w:r>
        <w:t>M07  Fox in a Box Brisbane corporate events</w:t>
      </w:r>
      <w:bookmarkEnd w:id="84"/>
    </w:p>
    <w:p>
      <w:pPr>
        <w:pStyle w:val="RegisterText"/>
      </w:pPr>
      <w:r>
        <w:t>Brisbane venue: ten rooms, up to sixty simultaneous players; corporate offers $45 one game/$80 two, minimum thirteen.</w:t>
      </w:r>
    </w:p>
    <w:p>
      <w:pPr>
        <w:pStyle w:val="SourceNote"/>
        <w:keepNext/>
      </w:pPr>
      <w:r>
        <w:t>Checked 30 Oct 2026</w:t>
      </w:r>
    </w:p>
    <w:p>
      <w:pPr>
        <w:pStyle w:val="SourceNote"/>
      </w:pPr>
      <w:hyperlink r:id="rId87">
        <w:r>
          <w:rPr>
            <w:color w:val="275E67"/>
            <w:u w:val="single"/>
          </w:rPr>
          <w:t xml:space="preserve">Open source</w:t>
        </w:r>
      </w:hyperlink>
    </w:p>
    <w:p>
      <w:bookmarkStart w:id="85" w:name="source_M08"/>
      <w:pPr>
        <w:pStyle w:val="SourceTitle"/>
      </w:pPr>
      <w:r>
        <w:t>M08  Fox in a Box Brisbane FAQs</w:t>
      </w:r>
      <w:bookmarkEnd w:id="85"/>
    </w:p>
    <w:p>
      <w:pPr>
        <w:pStyle w:val="SourceNote"/>
        <w:keepNext/>
      </w:pPr>
      <w:r>
        <w:t>Unverified · Recorded 29 Oct 2026</w:t>
      </w:r>
    </w:p>
    <w:p>
      <w:pPr>
        <w:pStyle w:val="SourceNote"/>
      </w:pPr>
      <w:hyperlink r:id="rId88">
        <w:r>
          <w:rPr>
            <w:color w:val="275E67"/>
            <w:u w:val="single"/>
          </w:rPr>
          <w:t xml:space="preserve">Open source</w:t>
        </w:r>
      </w:hyperlink>
    </w:p>
    <w:p>
      <w:bookmarkStart w:id="86" w:name="source_M09"/>
      <w:pPr>
        <w:pStyle w:val="SourceTitle"/>
      </w:pPr>
      <w:r>
        <w:t>M09  Red Lock pricing</w:t>
      </w:r>
      <w:bookmarkEnd w:id="86"/>
    </w:p>
    <w:p>
      <w:pPr>
        <w:pStyle w:val="RegisterText"/>
      </w:pPr>
      <w:r>
        <w:t>Public group tiers and weekday three-room $99 offer confirmed; same group/day, minimum two, excludes Queensland school holidays.</w:t>
      </w:r>
    </w:p>
    <w:p>
      <w:pPr>
        <w:pStyle w:val="SourceNote"/>
        <w:keepNext/>
      </w:pPr>
      <w:r>
        <w:t>Checked 30 Oct 2026</w:t>
      </w:r>
    </w:p>
    <w:p>
      <w:pPr>
        <w:pStyle w:val="SourceNote"/>
      </w:pPr>
      <w:hyperlink r:id="rId89">
        <w:r>
          <w:rPr>
            <w:color w:val="275E67"/>
            <w:u w:val="single"/>
          </w:rPr>
          <w:t xml:space="preserve">Open source</w:t>
        </w:r>
      </w:hyperlink>
    </w:p>
    <w:p>
      <w:bookmarkStart w:id="87" w:name="source_M10"/>
      <w:pPr>
        <w:pStyle w:val="SourceTitle"/>
      </w:pPr>
      <w:r>
        <w:t>M10  Team Escapes by Escape This capacity</w:t>
      </w:r>
      <w:bookmarkEnd w:id="87"/>
    </w:p>
    <w:p>
      <w:pPr>
        <w:pStyle w:val="RegisterText"/>
      </w:pPr>
      <w:r>
        <w:t>Five venue rows checked: 14/108, 9/62, 10/66, 3/18 and 12/82. Subtotal 48 rooms/336 places across those five venues, not one venue.</w:t>
      </w:r>
    </w:p>
    <w:p>
      <w:pPr>
        <w:pStyle w:val="SourceNote"/>
        <w:keepNext/>
      </w:pPr>
      <w:r>
        <w:t>Checked 30 Oct 2026</w:t>
      </w:r>
    </w:p>
    <w:p>
      <w:pPr>
        <w:pStyle w:val="SourceNote"/>
      </w:pPr>
      <w:hyperlink r:id="rId90">
        <w:r>
          <w:rPr>
            <w:color w:val="275E67"/>
            <w:u w:val="single"/>
          </w:rPr>
          <w:t xml:space="preserve">Open source</w:t>
        </w:r>
      </w:hyperlink>
    </w:p>
    <w:p>
      <w:bookmarkStart w:id="88" w:name="source_M11"/>
      <w:pPr>
        <w:pStyle w:val="SourceTitle"/>
      </w:pPr>
      <w:r>
        <w:t>M11  The Great Escape Melbourne fitout case study</w:t>
      </w:r>
      <w:bookmarkEnd w:id="88"/>
    </w:p>
    <w:p>
      <w:pPr>
        <w:pStyle w:val="RegisterText"/>
      </w:pPr>
      <w:r>
        <w:t>Designer project page retrieved; venue area is a whole mixed-use project, not mean game area.</w:t>
      </w:r>
    </w:p>
    <w:p>
      <w:pPr>
        <w:pStyle w:val="SourceNote"/>
        <w:keepNext/>
      </w:pPr>
      <w:r>
        <w:t>Checked 29 Oct 2026</w:t>
      </w:r>
    </w:p>
    <w:p>
      <w:pPr>
        <w:pStyle w:val="SourceNote"/>
      </w:pPr>
      <w:hyperlink r:id="rId91">
        <w:r>
          <w:rPr>
            <w:color w:val="275E67"/>
            <w:u w:val="single"/>
          </w:rPr>
          <w:t xml:space="preserve">Open source</w:t>
        </w:r>
      </w:hyperlink>
    </w:p>
    <w:p>
      <w:bookmarkStart w:id="89" w:name="source_M12"/>
      <w:pPr>
        <w:pStyle w:val="SourceTitle"/>
      </w:pPr>
      <w:r>
        <w:t>M12  The Great Escape current game overview</w:t>
      </w:r>
      <w:bookmarkEnd w:id="89"/>
    </w:p>
    <w:p>
      <w:pPr>
        <w:pStyle w:val="RegisterText"/>
      </w:pPr>
      <w:r>
        <w:t>Operator page advertises five of nine Melbourne CBD rooms open.</w:t>
      </w:r>
    </w:p>
    <w:p>
      <w:pPr>
        <w:pStyle w:val="SourceNote"/>
        <w:keepNext/>
      </w:pPr>
      <w:r>
        <w:t>Checked 29 Oct 2026</w:t>
      </w:r>
    </w:p>
    <w:p>
      <w:pPr>
        <w:pStyle w:val="SourceNote"/>
      </w:pPr>
      <w:hyperlink r:id="rId92">
        <w:r>
          <w:rPr>
            <w:color w:val="275E67"/>
            <w:u w:val="single"/>
          </w:rPr>
          <w:t xml:space="preserve">Open source</w:t>
        </w:r>
      </w:hyperlink>
    </w:p>
    <w:p>
      <w:bookmarkStart w:id="90" w:name="source_M13"/>
      <w:pPr>
        <w:pStyle w:val="SourceTitle"/>
      </w:pPr>
      <w:r>
        <w:t>M13  Mission Sydney Trapped</w:t>
      </w:r>
      <w:bookmarkEnd w:id="90"/>
    </w:p>
    <w:p>
      <w:pPr>
        <w:pStyle w:val="SourceNote"/>
        <w:keepNext/>
      </w:pPr>
      <w:r>
        <w:t>Unverified · Recorded 29 Oct 2026</w:t>
      </w:r>
    </w:p>
    <w:p>
      <w:pPr>
        <w:pStyle w:val="SourceNote"/>
      </w:pPr>
      <w:hyperlink r:id="rId93">
        <w:r>
          <w:rPr>
            <w:color w:val="275E67"/>
            <w:u w:val="single"/>
          </w:rPr>
          <w:t xml:space="preserve">Open source</w:t>
        </w:r>
      </w:hyperlink>
    </w:p>
    <w:p>
      <w:bookmarkStart w:id="91" w:name="source_M14"/>
      <w:pPr>
        <w:pStyle w:val="SourceTitle"/>
      </w:pPr>
      <w:r>
        <w:t>M14  Indestroom Australia supplier catalogue</w:t>
      </w:r>
      <w:bookmarkEnd w:id="91"/>
    </w:p>
    <w:p>
      <w:pPr>
        <w:pStyle w:val="RegisterText"/>
      </w:pPr>
      <w:r>
        <w:t>Four named package area/player ranges, AUD prices and standard/custom lead-time statements checked.</w:t>
      </w:r>
    </w:p>
    <w:p>
      <w:pPr>
        <w:pStyle w:val="SourceNote"/>
        <w:keepNext/>
      </w:pPr>
      <w:r>
        <w:t>Checked 30 Oct 2026</w:t>
      </w:r>
    </w:p>
    <w:p>
      <w:pPr>
        <w:pStyle w:val="SourceNote"/>
      </w:pPr>
      <w:hyperlink r:id="rId94">
        <w:r>
          <w:rPr>
            <w:color w:val="275E67"/>
            <w:u w:val="single"/>
          </w:rPr>
          <w:t xml:space="preserve">Open source</w:t>
        </w:r>
      </w:hyperlink>
    </w:p>
    <w:p>
      <w:bookmarkStart w:id="92" w:name="source_M15"/>
      <w:pPr>
        <w:pStyle w:val="SourceTitle"/>
      </w:pPr>
      <w:r>
        <w:t>M15  Lost Locks founder interview</w:t>
      </w:r>
      <w:bookmarkEnd w:id="92"/>
    </w:p>
    <w:p>
      <w:pPr>
        <w:pStyle w:val="SourceNote"/>
        <w:keepNext/>
      </w:pPr>
      <w:r>
        <w:t>Unverified · Recorded 29 Oct 2026</w:t>
      </w:r>
    </w:p>
    <w:p>
      <w:pPr>
        <w:pStyle w:val="SourceNote"/>
      </w:pPr>
      <w:hyperlink r:id="rId95">
        <w:r>
          <w:rPr>
            <w:color w:val="275E67"/>
            <w:u w:val="single"/>
          </w:rPr>
          <w:t xml:space="preserve">Open source</w:t>
        </w:r>
      </w:hyperlink>
    </w:p>
    <w:p>
      <w:bookmarkStart w:id="93" w:name="source_M16"/>
      <w:pPr>
        <w:pStyle w:val="SourceTitle"/>
      </w:pPr>
      <w:r>
        <w:t>M16  Mystery Rooms Geelong consolidation and touring games</w:t>
      </w:r>
      <w:bookmarkEnd w:id="93"/>
    </w:p>
    <w:p>
      <w:pPr>
        <w:pStyle w:val="RegisterText"/>
      </w:pPr>
      <w:r>
        <w:t>Operator page retrieved for relocation and partner-voucher terms.</w:t>
      </w:r>
    </w:p>
    <w:p>
      <w:pPr>
        <w:pStyle w:val="SourceNote"/>
        <w:keepNext/>
      </w:pPr>
      <w:r>
        <w:t>Checked 29 Oct 2026</w:t>
      </w:r>
    </w:p>
    <w:p>
      <w:pPr>
        <w:pStyle w:val="SourceNote"/>
      </w:pPr>
      <w:hyperlink r:id="rId96">
        <w:r>
          <w:rPr>
            <w:color w:val="275E67"/>
            <w:u w:val="single"/>
          </w:rPr>
          <w:t xml:space="preserve">Open source</w:t>
        </w:r>
      </w:hyperlink>
    </w:p>
    <w:p>
      <w:bookmarkStart w:id="94" w:name="source_M17"/>
      <w:pPr>
        <w:pStyle w:val="SourceTitle"/>
      </w:pPr>
      <w:r>
        <w:t>M17  Padlockd room catalogue</w:t>
      </w:r>
      <w:bookmarkEnd w:id="94"/>
    </w:p>
    <w:p>
      <w:pPr>
        <w:pStyle w:val="RegisterText"/>
      </w:pPr>
      <w:r>
        <w:t>Operator catalogue retrieved. Catalogue size is not a room count within one premises.</w:t>
      </w:r>
    </w:p>
    <w:p>
      <w:pPr>
        <w:pStyle w:val="SourceNote"/>
        <w:keepNext/>
      </w:pPr>
      <w:r>
        <w:t>Checked 29 Oct 2026</w:t>
      </w:r>
    </w:p>
    <w:p>
      <w:pPr>
        <w:pStyle w:val="SourceNote"/>
      </w:pPr>
      <w:hyperlink r:id="rId97">
        <w:r>
          <w:rPr>
            <w:color w:val="275E67"/>
            <w:u w:val="single"/>
          </w:rPr>
          <w:t xml:space="preserve">Open source</w:t>
        </w:r>
      </w:hyperlink>
    </w:p>
    <w:p>
      <w:bookmarkStart w:id="95" w:name="source_M18"/>
      <w:pPr>
        <w:pStyle w:val="SourceTitle"/>
      </w:pPr>
      <w:r>
        <w:t>M18  Puzzled pricing</w:t>
      </w:r>
      <w:bookmarkEnd w:id="95"/>
    </w:p>
    <w:p>
      <w:pPr>
        <w:pStyle w:val="RegisterText"/>
      </w:pPr>
      <w:r>
        <w:t>Public tiers $48 for two, $45 for three and $42 for four to six; maximum six per room.</w:t>
      </w:r>
    </w:p>
    <w:p>
      <w:pPr>
        <w:pStyle w:val="SourceNote"/>
        <w:keepNext/>
      </w:pPr>
      <w:r>
        <w:t>Checked 30 Oct 2026</w:t>
      </w:r>
    </w:p>
    <w:p>
      <w:pPr>
        <w:pStyle w:val="SourceNote"/>
      </w:pPr>
      <w:hyperlink r:id="rId98">
        <w:r>
          <w:rPr>
            <w:color w:val="275E67"/>
            <w:u w:val="single"/>
          </w:rPr>
          <w:t xml:space="preserve">Open source</w:t>
        </w:r>
      </w:hyperlink>
    </w:p>
    <w:p>
      <w:bookmarkStart w:id="96" w:name="source_M19"/>
      <w:pPr>
        <w:pStyle w:val="SourceTitle"/>
      </w:pPr>
      <w:r>
        <w:t>M19  Puzzled schools</w:t>
      </w:r>
      <w:bookmarkEnd w:id="96"/>
    </w:p>
    <w:p>
      <w:pPr>
        <w:pStyle w:val="RegisterText"/>
      </w:pPr>
      <w:r>
        <w:t>$35 weekdays, minimum twenty school/community participants.</w:t>
      </w:r>
    </w:p>
    <w:p>
      <w:pPr>
        <w:pStyle w:val="SourceNote"/>
        <w:keepNext/>
      </w:pPr>
      <w:r>
        <w:t>Checked 30 Oct 2026</w:t>
      </w:r>
    </w:p>
    <w:p>
      <w:pPr>
        <w:pStyle w:val="SourceNote"/>
      </w:pPr>
      <w:hyperlink r:id="rId99">
        <w:r>
          <w:rPr>
            <w:color w:val="275E67"/>
            <w:u w:val="single"/>
          </w:rPr>
          <w:t xml:space="preserve">Open source</w:t>
        </w:r>
      </w:hyperlink>
    </w:p>
    <w:p>
      <w:bookmarkStart w:id="97" w:name="source_M20"/>
      <w:pPr>
        <w:pStyle w:val="SourceTitle"/>
      </w:pPr>
      <w:r>
        <w:t>M20  Project Immersive events</w:t>
      </w:r>
      <w:bookmarkEnd w:id="97"/>
    </w:p>
    <w:p>
      <w:pPr>
        <w:pStyle w:val="RegisterText"/>
      </w:pPr>
      <w:r>
        <w:t>Fission $44 per person, 7 to 20 across games, minimum three per room; one game each.</w:t>
      </w:r>
    </w:p>
    <w:p>
      <w:pPr>
        <w:pStyle w:val="SourceNote"/>
        <w:keepNext/>
      </w:pPr>
      <w:r>
        <w:t>Checked 30 Oct 2026</w:t>
      </w:r>
    </w:p>
    <w:p>
      <w:pPr>
        <w:pStyle w:val="SourceNote"/>
      </w:pPr>
      <w:hyperlink r:id="rId100">
        <w:r>
          <w:rPr>
            <w:color w:val="275E67"/>
            <w:u w:val="single"/>
          </w:rPr>
          <w:t xml:space="preserve">Open source</w:t>
        </w:r>
      </w:hyperlink>
    </w:p>
    <w:p>
      <w:bookmarkStart w:id="98" w:name="source_M21"/>
      <w:pPr>
        <w:pStyle w:val="SourceTitle"/>
      </w:pPr>
      <w:r>
        <w:t>M21  TRA State and Regional Tourism Satellite Accounts</w:t>
      </w:r>
      <w:bookmarkEnd w:id="98"/>
    </w:p>
    <w:p>
      <w:pPr>
        <w:pStyle w:val="SourceNote"/>
        <w:keepNext/>
      </w:pPr>
      <w:r>
        <w:t>Unverified · Recorded 29 Oct 2026</w:t>
      </w:r>
    </w:p>
    <w:p>
      <w:pPr>
        <w:pStyle w:val="SourceNote"/>
      </w:pPr>
      <w:hyperlink r:id="rId101">
        <w:r>
          <w:rPr>
            <w:color w:val="275E67"/>
            <w:u w:val="single"/>
          </w:rPr>
          <w:t xml:space="preserve">Open source</w:t>
        </w:r>
      </w:hyperlink>
    </w:p>
    <w:p>
      <w:bookmarkStart w:id="99" w:name="source_M22"/>
      <w:pPr>
        <w:pStyle w:val="SourceTitle"/>
      </w:pPr>
      <w:r>
        <w:t>M22  Destination NSW tourism distribution</w:t>
      </w:r>
      <w:bookmarkEnd w:id="99"/>
    </w:p>
    <w:p>
      <w:pPr>
        <w:pStyle w:val="SourceNote"/>
        <w:keepNext/>
      </w:pPr>
      <w:r>
        <w:t>Unverified · Recorded 29 Oct 2026</w:t>
      </w:r>
    </w:p>
    <w:p>
      <w:pPr>
        <w:pStyle w:val="SourceNote"/>
      </w:pPr>
      <w:hyperlink r:id="rId102">
        <w:r>
          <w:rPr>
            <w:color w:val="275E67"/>
            <w:u w:val="single"/>
          </w:rPr>
          <w:t xml:space="preserve">Open source</w:t>
        </w:r>
      </w:hyperlink>
    </w:p>
    <w:p>
      <w:bookmarkStart w:id="100" w:name="source_M23"/>
      <w:pPr>
        <w:pStyle w:val="SourceTitle"/>
      </w:pPr>
      <w:r>
        <w:t>M23  Local Government Funding submission register</w:t>
      </w:r>
      <w:bookmarkEnd w:id="100"/>
    </w:p>
    <w:p>
      <w:pPr>
        <w:pStyle w:val="SourceNote"/>
        <w:keepNext/>
      </w:pPr>
      <w:r>
        <w:t>Unverified · Recorded 29 Oct 2026</w:t>
      </w:r>
    </w:p>
    <w:p>
      <w:pPr>
        <w:pStyle w:val="SourceNote"/>
      </w:pPr>
      <w:hyperlink r:id="rId103">
        <w:r>
          <w:rPr>
            <w:color w:val="275E67"/>
            <w:u w:val="single"/>
          </w:rPr>
          <w:t xml:space="preserve">Open source</w:t>
        </w:r>
      </w:hyperlink>
    </w:p>
    <w:p>
      <w:bookmarkStart w:id="101" w:name="source_M24"/>
      <w:pPr>
        <w:pStyle w:val="SourceTitle"/>
      </w:pPr>
      <w:r>
        <w:t>M24  Australian Curriculum, Personal and Social capability</w:t>
      </w:r>
      <w:bookmarkEnd w:id="101"/>
    </w:p>
    <w:p>
      <w:pPr>
        <w:pStyle w:val="SourceNote"/>
        <w:keepNext/>
      </w:pPr>
      <w:r>
        <w:t>Unverified · Recorded 29 Oct 2026</w:t>
      </w:r>
    </w:p>
    <w:p>
      <w:pPr>
        <w:pStyle w:val="SourceNote"/>
      </w:pPr>
      <w:hyperlink r:id="rId104">
        <w:r>
          <w:rPr>
            <w:color w:val="275E67"/>
            <w:u w:val="single"/>
          </w:rPr>
          <w:t xml:space="preserve">Open source</w:t>
        </w:r>
      </w:hyperlink>
    </w:p>
    <w:p>
      <w:bookmarkStart w:id="102" w:name="source_M25"/>
      <w:pPr>
        <w:pStyle w:val="SourceTitle"/>
      </w:pPr>
      <w:r>
        <w:t>M25  QCAA Personal and Social capability learning continuum</w:t>
      </w:r>
      <w:bookmarkEnd w:id="102"/>
    </w:p>
    <w:p>
      <w:pPr>
        <w:pStyle w:val="SourceNote"/>
        <w:keepNext/>
      </w:pPr>
      <w:r>
        <w:t>Unverified · Recorded 29 Oct 2026</w:t>
      </w:r>
    </w:p>
    <w:p>
      <w:pPr>
        <w:pStyle w:val="SourceNote"/>
      </w:pPr>
      <w:hyperlink r:id="rId105">
        <w:r>
          <w:rPr>
            <w:color w:val="275E67"/>
            <w:u w:val="single"/>
          </w:rPr>
          <w:t xml:space="preserve">Open source</w:t>
        </w:r>
      </w:hyperlink>
    </w:p>
    <w:p>
      <w:bookmarkStart w:id="103" w:name="source_R101"/>
      <w:pPr>
        <w:pStyle w:val="SourceTitle"/>
      </w:pPr>
      <w:r>
        <w:t>R101  Fair Work, Amusement Events and Recreation Award, effective 1 July 2026</w:t>
      </w:r>
      <w:bookmarkEnd w:id="103"/>
    </w:p>
    <w:p>
      <w:pPr>
        <w:pStyle w:val="RegisterText"/>
      </w:pPr>
      <w:r>
        <w:t>Adult casual Grade 4: $36.81 ordinary/$51.54 Sunday; Grade 6: $39.11/$54.76. Classification remains job-specific.</w:t>
      </w:r>
    </w:p>
    <w:p>
      <w:pPr>
        <w:pStyle w:val="SourceNote"/>
        <w:keepNext/>
      </w:pPr>
      <w:r>
        <w:t>Checked 30 Oct 2026</w:t>
      </w:r>
    </w:p>
    <w:p>
      <w:pPr>
        <w:pStyle w:val="SourceNote"/>
      </w:pPr>
      <w:hyperlink r:id="rId106">
        <w:r>
          <w:rPr>
            <w:color w:val="275E67"/>
            <w:u w:val="single"/>
          </w:rPr>
          <w:t xml:space="preserve">Open source</w:t>
        </w:r>
      </w:hyperlink>
    </w:p>
    <w:p>
      <w:bookmarkStart w:id="104" w:name="source_R102"/>
      <w:pPr>
        <w:pStyle w:val="SourceTitle"/>
      </w:pPr>
      <w:r>
        <w:t>R102  ATO, calculating super guarantee</w:t>
      </w:r>
      <w:bookmarkEnd w:id="104"/>
    </w:p>
    <w:p>
      <w:pPr>
        <w:pStyle w:val="RegisterText"/>
      </w:pPr>
      <w:r>
        <w:t>Earlier teaching page did not expose the rate in retrieved text. Official ATO material corroborates 12%; see the added official Payday Super source.</w:t>
      </w:r>
    </w:p>
    <w:p>
      <w:pPr>
        <w:pStyle w:val="SourceNote"/>
        <w:keepNext/>
      </w:pPr>
      <w:r>
        <w:t>Checked 29 Oct 2026</w:t>
      </w:r>
    </w:p>
    <w:p>
      <w:pPr>
        <w:pStyle w:val="SourceNote"/>
      </w:pPr>
      <w:hyperlink r:id="rId107">
        <w:r>
          <w:rPr>
            <w:color w:val="275E67"/>
            <w:u w:val="single"/>
          </w:rPr>
          <w:t xml:space="preserve">Open source</w:t>
        </w:r>
      </w:hyperlink>
    </w:p>
    <w:p>
      <w:bookmarkStart w:id="105" w:name="source_R103"/>
      <w:pPr>
        <w:pStyle w:val="SourceTitle"/>
      </w:pPr>
      <w:r>
        <w:t>R103  Stripe Australia, current pricing</w:t>
      </w:r>
      <w:bookmarkEnd w:id="105"/>
    </w:p>
    <w:p>
      <w:pPr>
        <w:pStyle w:val="RegisterText"/>
      </w:pPr>
      <w:r>
        <w:t>Domestic online cards: 1.65% plus $0.30 per successful payment including GST. Fees rounded per payment in calculators.</w:t>
      </w:r>
    </w:p>
    <w:p>
      <w:pPr>
        <w:pStyle w:val="SourceNote"/>
        <w:keepNext/>
      </w:pPr>
      <w:r>
        <w:t>Checked 30 Oct 2026</w:t>
      </w:r>
    </w:p>
    <w:p>
      <w:pPr>
        <w:pStyle w:val="SourceNote"/>
      </w:pPr>
      <w:hyperlink r:id="rId108">
        <w:r>
          <w:rPr>
            <w:color w:val="275E67"/>
            <w:u w:val="single"/>
          </w:rPr>
          <w:t xml:space="preserve">Open source</w:t>
        </w:r>
      </w:hyperlink>
    </w:p>
    <w:p>
      <w:bookmarkStart w:id="106" w:name="source_R104"/>
      <w:pPr>
        <w:pStyle w:val="SourceTitle"/>
      </w:pPr>
      <w:r>
        <w:t>R104  Dash Group, Brisbane labour hire charge rates</w:t>
      </w:r>
      <w:bookmarkEnd w:id="106"/>
    </w:p>
    <w:p>
      <w:pPr>
        <w:pStyle w:val="RegisterText"/>
      </w:pPr>
      <w:r>
        <w:t>Provider charge rates ex GST: general labour $55–$60/hour; carpentry $75–$85; shopfitting/joinery $65–$85.</w:t>
      </w:r>
    </w:p>
    <w:p>
      <w:pPr>
        <w:pStyle w:val="SourceNote"/>
        <w:keepNext/>
      </w:pPr>
      <w:r>
        <w:t>Checked 30 Oct 2026</w:t>
      </w:r>
    </w:p>
    <w:p>
      <w:pPr>
        <w:pStyle w:val="SourceNote"/>
      </w:pPr>
      <w:hyperlink r:id="rId109">
        <w:r>
          <w:rPr>
            <w:color w:val="275E67"/>
            <w:u w:val="single"/>
          </w:rPr>
          <w:t xml:space="preserve">Open source</w:t>
        </w:r>
      </w:hyperlink>
    </w:p>
    <w:p>
      <w:bookmarkStart w:id="107" w:name="source_R105"/>
      <w:pPr>
        <w:pStyle w:val="SourceTitle"/>
      </w:pPr>
      <w:r>
        <w:t>R105  Voltora, Brisbane electrical attendance prices</w:t>
      </w:r>
      <w:bookmarkEnd w:id="107"/>
    </w:p>
    <w:p>
      <w:pPr>
        <w:pStyle w:val="RegisterText"/>
      </w:pPr>
      <w:r>
        <w:t>$258.50 includes attendance and first hour; subsequent hours $148.50 including GST, materials extra.</w:t>
      </w:r>
    </w:p>
    <w:p>
      <w:pPr>
        <w:pStyle w:val="SourceNote"/>
        <w:keepNext/>
      </w:pPr>
      <w:r>
        <w:t>Checked 30 Oct 2026</w:t>
      </w:r>
    </w:p>
    <w:p>
      <w:pPr>
        <w:pStyle w:val="SourceNote"/>
      </w:pPr>
      <w:hyperlink r:id="rId110">
        <w:r>
          <w:rPr>
            <w:color w:val="275E67"/>
            <w:u w:val="single"/>
          </w:rPr>
          <w:t xml:space="preserve">Open source</w:t>
        </w:r>
      </w:hyperlink>
    </w:p>
    <w:p>
      <w:bookmarkStart w:id="108" w:name="source_R106"/>
      <w:pPr>
        <w:pStyle w:val="SourceTitle"/>
      </w:pPr>
      <w:r>
        <w:t>R106  Store DJ, Rode Wireless PRO dual kit</w:t>
      </w:r>
      <w:bookmarkEnd w:id="108"/>
    </w:p>
    <w:p>
      <w:pPr>
        <w:pStyle w:val="RegisterText"/>
      </w:pPr>
      <w:r>
        <w:t>Advertised $385 promotional price, online stock; location stock and offer expiry vary.</w:t>
      </w:r>
    </w:p>
    <w:p>
      <w:pPr>
        <w:pStyle w:val="SourceNote"/>
        <w:keepNext/>
      </w:pPr>
      <w:r>
        <w:t>Checked 30 Oct 2026</w:t>
      </w:r>
    </w:p>
    <w:p>
      <w:pPr>
        <w:pStyle w:val="SourceNote"/>
      </w:pPr>
      <w:hyperlink r:id="rId111">
        <w:r>
          <w:rPr>
            <w:color w:val="275E67"/>
            <w:u w:val="single"/>
          </w:rPr>
          <w:t xml:space="preserve">Open source</w:t>
        </w:r>
      </w:hyperlink>
    </w:p>
    <w:p>
      <w:bookmarkStart w:id="109" w:name="source_R107"/>
      <w:pPr>
        <w:pStyle w:val="SourceTitle"/>
      </w:pPr>
      <w:r>
        <w:t>R107  Rode, simultaneous Wireless PRO systems</w:t>
      </w:r>
      <w:bookmarkEnd w:id="109"/>
    </w:p>
    <w:p>
      <w:pPr>
        <w:pStyle w:val="RegisterText"/>
      </w:pPr>
      <w:r>
        <w:t>Manufacturer states up to four kits/eight transmitters in one place; this is not a multi-room engineering design.</w:t>
      </w:r>
    </w:p>
    <w:p>
      <w:pPr>
        <w:pStyle w:val="SourceNote"/>
        <w:keepNext/>
      </w:pPr>
      <w:r>
        <w:t>Checked 30 Oct 2026</w:t>
      </w:r>
    </w:p>
    <w:p>
      <w:pPr>
        <w:pStyle w:val="SourceNote"/>
      </w:pPr>
      <w:hyperlink r:id="rId112">
        <w:r>
          <w:rPr>
            <w:color w:val="275E67"/>
            <w:u w:val="single"/>
          </w:rPr>
          <w:t xml:space="preserve">Open source</w:t>
        </w:r>
      </w:hyperlink>
    </w:p>
    <w:p>
      <w:bookmarkStart w:id="110" w:name="source_R108"/>
      <w:pPr>
        <w:pStyle w:val="SourceTitle"/>
      </w:pPr>
      <w:r>
        <w:t>R108  Better Music, Zoom LiveTrak L-8</w:t>
      </w:r>
      <w:bookmarkEnd w:id="110"/>
    </w:p>
    <w:p>
      <w:pPr>
        <w:pStyle w:val="RegisterText"/>
      </w:pPr>
      <w:r>
        <w:t>$715 advertised, backorder displayed; shipping separate.</w:t>
      </w:r>
    </w:p>
    <w:p>
      <w:pPr>
        <w:pStyle w:val="SourceNote"/>
        <w:keepNext/>
      </w:pPr>
      <w:r>
        <w:t>Checked 30 Oct 2026</w:t>
      </w:r>
    </w:p>
    <w:p>
      <w:pPr>
        <w:pStyle w:val="SourceNote"/>
      </w:pPr>
      <w:hyperlink r:id="rId113">
        <w:r>
          <w:rPr>
            <w:color w:val="275E67"/>
            <w:u w:val="single"/>
          </w:rPr>
          <w:t xml:space="preserve">Open source</w:t>
        </w:r>
      </w:hyperlink>
    </w:p>
    <w:p>
      <w:bookmarkStart w:id="111" w:name="source_R109"/>
      <w:pPr>
        <w:pStyle w:val="SourceTitle"/>
      </w:pPr>
      <w:r>
        <w:t>R109  Store DJ, Hosa CMP-159 breakout cable</w:t>
      </w:r>
      <w:bookmarkEnd w:id="111"/>
    </w:p>
    <w:p>
      <w:pPr>
        <w:pStyle w:val="RegisterText"/>
      </w:pPr>
      <w:r>
        <w:t>$22 advertised promotional cable price; delivery separate.</w:t>
      </w:r>
    </w:p>
    <w:p>
      <w:pPr>
        <w:pStyle w:val="SourceNote"/>
        <w:keepNext/>
      </w:pPr>
      <w:r>
        <w:t>Checked 30 Oct 2026</w:t>
      </w:r>
    </w:p>
    <w:p>
      <w:pPr>
        <w:pStyle w:val="SourceNote"/>
      </w:pPr>
      <w:hyperlink r:id="rId114">
        <w:r>
          <w:rPr>
            <w:color w:val="275E67"/>
            <w:u w:val="single"/>
          </w:rPr>
          <w:t xml:space="preserve">Open source</w:t>
        </w:r>
      </w:hyperlink>
    </w:p>
    <w:p>
      <w:bookmarkStart w:id="112" w:name="source_R110"/>
      <w:pPr>
        <w:pStyle w:val="SourceTitle"/>
      </w:pPr>
      <w:r>
        <w:t>R110  Officeworks, Matrix visitor chair</w:t>
      </w:r>
      <w:bookmarkEnd w:id="112"/>
    </w:p>
    <w:p>
      <w:pPr>
        <w:pStyle w:val="RegisterText"/>
      </w:pPr>
      <w:r>
        <w:t>Matrix visitor chair $179 advertised.</w:t>
      </w:r>
    </w:p>
    <w:p>
      <w:pPr>
        <w:pStyle w:val="SourceNote"/>
        <w:keepNext/>
      </w:pPr>
      <w:r>
        <w:t>Checked 30 Oct 2026</w:t>
      </w:r>
    </w:p>
    <w:p>
      <w:pPr>
        <w:pStyle w:val="SourceNote"/>
      </w:pPr>
      <w:hyperlink r:id="rId115">
        <w:r>
          <w:rPr>
            <w:color w:val="275E67"/>
            <w:u w:val="single"/>
          </w:rPr>
          <w:t xml:space="preserve">Open source</w:t>
        </w:r>
      </w:hyperlink>
    </w:p>
    <w:p>
      <w:bookmarkStart w:id="113" w:name="source_R111"/>
      <w:pPr>
        <w:pStyle w:val="SourceTitle"/>
      </w:pPr>
      <w:r>
        <w:t>R111  Officeworks, Matrix visitor armchair</w:t>
      </w:r>
      <w:bookmarkEnd w:id="113"/>
    </w:p>
    <w:p>
      <w:pPr>
        <w:pStyle w:val="RegisterText"/>
      </w:pPr>
      <w:r>
        <w:t>Matrix visitor armchair $199 advertised; no unverified load-rating claim retained in the plan.</w:t>
      </w:r>
    </w:p>
    <w:p>
      <w:pPr>
        <w:pStyle w:val="SourceNote"/>
        <w:keepNext/>
      </w:pPr>
      <w:r>
        <w:t>Checked 30 Oct 2026</w:t>
      </w:r>
    </w:p>
    <w:p>
      <w:pPr>
        <w:pStyle w:val="SourceNote"/>
      </w:pPr>
      <w:hyperlink r:id="rId116">
        <w:r>
          <w:rPr>
            <w:color w:val="275E67"/>
            <w:u w:val="single"/>
          </w:rPr>
          <w:t xml:space="preserve">Open source</w:t>
        </w:r>
      </w:hyperlink>
    </w:p>
    <w:p>
      <w:bookmarkStart w:id="114" w:name="source_R112"/>
      <w:pPr>
        <w:pStyle w:val="SourceTitle"/>
      </w:pPr>
      <w:r>
        <w:t>R112  Danny's Desks, Chibel ex-hire chair</w:t>
      </w:r>
      <w:bookmarkEnd w:id="114"/>
    </w:p>
    <w:p>
      <w:pPr>
        <w:pStyle w:val="RegisterText"/>
      </w:pPr>
      <w:r>
        <w:t>Earlier $39 ex-hire chair listing could not be retrieved. Price and claimed specifications excluded from active benchmarks and totals.</w:t>
      </w:r>
    </w:p>
    <w:p>
      <w:pPr>
        <w:pStyle w:val="SourceNote"/>
        <w:keepNext/>
      </w:pPr>
      <w:r>
        <w:t>Checked 30 Oct 2026</w:t>
      </w:r>
    </w:p>
    <w:p>
      <w:pPr>
        <w:pStyle w:val="SourceNote"/>
      </w:pPr>
      <w:hyperlink r:id="rId117">
        <w:r>
          <w:rPr>
            <w:color w:val="275E67"/>
            <w:u w:val="single"/>
          </w:rPr>
          <w:t xml:space="preserve">Open source</w:t>
        </w:r>
      </w:hyperlink>
    </w:p>
    <w:p>
      <w:bookmarkStart w:id="115" w:name="source_R113"/>
      <w:pPr>
        <w:pStyle w:val="SourceTitle"/>
      </w:pPr>
      <w:r>
        <w:t>R113  Officeworks Rapidline steel frame table 1800 × 900 mm</w:t>
      </w:r>
      <w:bookmarkEnd w:id="115"/>
    </w:p>
    <w:p>
      <w:pPr>
        <w:pStyle w:val="RegisterText"/>
      </w:pPr>
      <w:r>
        <w:t>The $292 Officeworks product is a Rapidline steel-frame 1800 × 900 mm table, code FNSFT1890W. Earlier folding description and category-only citation corrected.</w:t>
      </w:r>
    </w:p>
    <w:p>
      <w:pPr>
        <w:pStyle w:val="SourceNote"/>
        <w:keepNext/>
      </w:pPr>
      <w:r>
        <w:t>Checked 30 Oct 2026</w:t>
      </w:r>
    </w:p>
    <w:p>
      <w:pPr>
        <w:pStyle w:val="SourceNote"/>
      </w:pPr>
      <w:hyperlink r:id="rId118">
        <w:r>
          <w:rPr>
            <w:color w:val="275E67"/>
            <w:u w:val="single"/>
          </w:rPr>
          <w:t xml:space="preserve">Open source</w:t>
        </w:r>
      </w:hyperlink>
    </w:p>
    <w:p>
      <w:bookmarkStart w:id="116" w:name="source_R114"/>
      <w:pPr>
        <w:pStyle w:val="SourceTitle"/>
      </w:pPr>
      <w:r>
        <w:t>R114  Mack's Office Furniture, recorded second-hand catalogue</w:t>
      </w:r>
      <w:bookmarkEnd w:id="116"/>
    </w:p>
    <w:p>
      <w:pPr>
        <w:pStyle w:val="RegisterText"/>
      </w:pPr>
      <w:r>
        <w:t>Direct used-product pages: desk $150 incl GST, 1600 × 800 mm; cupboard $129 incl GST, 1600h × 900w × 430d mm. Quantity and freight unconfirmed.</w:t>
      </w:r>
    </w:p>
    <w:p>
      <w:pPr>
        <w:pStyle w:val="SourceNote"/>
        <w:keepNext/>
      </w:pPr>
      <w:r>
        <w:t>Checked 30 Oct 2026</w:t>
      </w:r>
    </w:p>
    <w:p>
      <w:pPr>
        <w:pStyle w:val="SourceNote"/>
      </w:pPr>
      <w:hyperlink r:id="rId119">
        <w:r>
          <w:rPr>
            <w:color w:val="275E67"/>
            <w:u w:val="single"/>
          </w:rPr>
          <w:t xml:space="preserve">Open source</w:t>
        </w:r>
      </w:hyperlink>
      <w:r>
        <w:t xml:space="preserve"> | </w:t>
      </w:r>
      <w:hyperlink r:id="rId120">
        <w:r>
          <w:rPr>
            <w:color w:val="275E67"/>
            <w:u w:val="single"/>
          </w:rPr>
          <w:t xml:space="preserve">Used 1600 x 800 mm desk</w:t>
        </w:r>
      </w:hyperlink>
      <w:r>
        <w:t xml:space="preserve"> | </w:t>
      </w:r>
      <w:hyperlink r:id="rId121">
        <w:r>
          <w:rPr>
            <w:color w:val="275E67"/>
            <w:u w:val="single"/>
          </w:rPr>
          <w:t xml:space="preserve">Used 1600h x 900w x 430d mm cupboard</w:t>
        </w:r>
      </w:hyperlink>
    </w:p>
    <w:p>
      <w:bookmarkStart w:id="117" w:name="source_R115"/>
      <w:pPr>
        <w:pStyle w:val="SourceTitle"/>
      </w:pPr>
      <w:r>
        <w:t>R115  Australian Computer Traders, refurbished desktop range</w:t>
      </w:r>
      <w:bookmarkEnd w:id="117"/>
    </w:p>
    <w:p>
      <w:pPr>
        <w:pStyle w:val="RegisterText"/>
      </w:pPr>
      <w:r>
        <w:t>Supplier homepage advertises Grade A HP EliteDesk 800 G6 Mini i5 tenth generation,16 GB/256 GB at $399.</w:t>
      </w:r>
    </w:p>
    <w:p>
      <w:pPr>
        <w:pStyle w:val="SourceNote"/>
        <w:keepNext/>
      </w:pPr>
      <w:r>
        <w:t>Checked 30 Oct 2026</w:t>
      </w:r>
    </w:p>
    <w:p>
      <w:pPr>
        <w:pStyle w:val="SourceNote"/>
      </w:pPr>
      <w:hyperlink r:id="rId122">
        <w:r>
          <w:rPr>
            <w:color w:val="275E67"/>
            <w:u w:val="single"/>
          </w:rPr>
          <w:t xml:space="preserve">Open source</w:t>
        </w:r>
      </w:hyperlink>
    </w:p>
    <w:p>
      <w:bookmarkStart w:id="118" w:name="source_R116"/>
      <w:pPr>
        <w:pStyle w:val="SourceTitle"/>
      </w:pPr>
      <w:r>
        <w:t>R116  Scorptec, CyberPower UPS published range</w:t>
      </w:r>
      <w:bookmarkEnd w:id="118"/>
    </w:p>
    <w:p>
      <w:pPr>
        <w:pStyle w:val="RegisterText"/>
      </w:pPr>
      <w:r>
        <w:t>Exact CP900EPFCLCDa page advertises $299, 900 VA/540 W. Delivery and stock conditions apply.</w:t>
      </w:r>
    </w:p>
    <w:p>
      <w:pPr>
        <w:pStyle w:val="SourceNote"/>
        <w:keepNext/>
      </w:pPr>
      <w:r>
        <w:t>Checked 30 Oct 2026</w:t>
      </w:r>
    </w:p>
    <w:p>
      <w:pPr>
        <w:pStyle w:val="SourceNote"/>
      </w:pPr>
      <w:hyperlink r:id="rId123">
        <w:r>
          <w:rPr>
            <w:color w:val="275E67"/>
            <w:u w:val="single"/>
          </w:rPr>
          <w:t xml:space="preserve">Open source</w:t>
        </w:r>
      </w:hyperlink>
    </w:p>
    <w:p>
      <w:bookmarkStart w:id="119" w:name="source_R117"/>
      <w:pPr>
        <w:pStyle w:val="SourceTitle"/>
      </w:pPr>
      <w:r>
        <w:t>R117  Indestroom, Australian turnkey room catalogue</w:t>
      </w:r>
      <w:bookmarkEnd w:id="119"/>
    </w:p>
    <w:p>
      <w:pPr>
        <w:pStyle w:val="RegisterText"/>
      </w:pPr>
      <w:r>
        <w:t>Jungle $42,500; Magic School $89,900; Pharaoh $63,300; Vault32 $101,600 AUD advertised package benchmarks, not landed/site-installed costs.</w:t>
      </w:r>
    </w:p>
    <w:p>
      <w:pPr>
        <w:pStyle w:val="SourceNote"/>
        <w:keepNext/>
      </w:pPr>
      <w:r>
        <w:t>Checked 30 Oct 2026</w:t>
      </w:r>
    </w:p>
    <w:p>
      <w:pPr>
        <w:pStyle w:val="SourceNote"/>
      </w:pPr>
      <w:hyperlink r:id="rId94">
        <w:r>
          <w:rPr>
            <w:color w:val="275E67"/>
            <w:u w:val="single"/>
          </w:rPr>
          <w:t xml:space="preserve">Open source</w:t>
        </w:r>
      </w:hyperlink>
    </w:p>
    <w:p>
      <w:bookmarkStart w:id="120" w:name="source_R118"/>
      <w:pPr>
        <w:pStyle w:val="SourceTitle"/>
      </w:pPr>
      <w:r>
        <w:t>R118  Property Now, 338 Lytton Road listing</w:t>
      </w:r>
      <w:bookmarkEnd w:id="120"/>
    </w:p>
    <w:p>
      <w:pPr>
        <w:pStyle w:val="RegisterText"/>
      </w:pPr>
      <w:r>
        <w:t>Unit 7 / 338 Lytton Road: 300 m² partial building; $6,750/month plus GST/outgoings. Another upstairs tenant is described. Listing updated 22 Sep 2026.</w:t>
      </w:r>
    </w:p>
    <w:p>
      <w:pPr>
        <w:pStyle w:val="SourceNote"/>
        <w:keepNext/>
      </w:pPr>
      <w:r>
        <w:t>Checked 30 Oct 2026</w:t>
      </w:r>
    </w:p>
    <w:p>
      <w:pPr>
        <w:pStyle w:val="SourceNote"/>
      </w:pPr>
      <w:hyperlink r:id="rId124">
        <w:r>
          <w:rPr>
            <w:color w:val="275E67"/>
            <w:u w:val="single"/>
          </w:rPr>
          <w:t xml:space="preserve">Open source</w:t>
        </w:r>
      </w:hyperlink>
    </w:p>
    <w:p>
      <w:bookmarkStart w:id="121" w:name="source_R119"/>
      <w:pPr>
        <w:pStyle w:val="SourceTitle"/>
      </w:pPr>
      <w:r>
        <w:t>R119  Chase Commercial, 4/65 Riverside Place listing</w:t>
      </w:r>
      <w:bookmarkEnd w:id="121"/>
    </w:p>
    <w:p>
      <w:pPr>
        <w:pStyle w:val="RegisterText"/>
      </w:pPr>
      <w:r>
        <w:t>4/65 Riverside Place: 300 m²; $78,000/year plus GST/outgoings. Listing updated 11 Sep 2026. Earlier $72,000 value was superseded in the previous revision.</w:t>
      </w:r>
    </w:p>
    <w:p>
      <w:pPr>
        <w:pStyle w:val="SourceNote"/>
        <w:keepNext/>
      </w:pPr>
      <w:r>
        <w:t>Checked 30 Oct 2026</w:t>
      </w:r>
    </w:p>
    <w:p>
      <w:pPr>
        <w:pStyle w:val="SourceNote"/>
      </w:pPr>
      <w:hyperlink r:id="rId125">
        <w:r>
          <w:rPr>
            <w:color w:val="275E67"/>
            <w:u w:val="single"/>
          </w:rPr>
          <w:t xml:space="preserve">Open source</w:t>
        </w:r>
      </w:hyperlink>
    </w:p>
    <w:p>
      <w:bookmarkStart w:id="122" w:name="source_R120"/>
      <w:pPr>
        <w:pStyle w:val="SourceTitle"/>
      </w:pPr>
      <w:r>
        <w:t>R120  Alliance Electrical, Northern Rivers rates</w:t>
      </w:r>
      <w:bookmarkEnd w:id="122"/>
    </w:p>
    <w:p>
      <w:pPr>
        <w:pStyle w:val="SourceNote"/>
        <w:keepNext/>
      </w:pPr>
      <w:r>
        <w:t>Unverified · Recorded 29 Oct 2026</w:t>
      </w:r>
    </w:p>
    <w:p>
      <w:pPr>
        <w:pStyle w:val="SourceNote"/>
      </w:pPr>
      <w:hyperlink r:id="rId126">
        <w:r>
          <w:rPr>
            <w:color w:val="275E67"/>
            <w:u w:val="single"/>
          </w:rPr>
          <w:t xml:space="preserve">Open source</w:t>
        </w:r>
      </w:hyperlink>
    </w:p>
    <w:p>
      <w:bookmarkStart w:id="123" w:name="source_R121"/>
      <w:pPr>
        <w:pStyle w:val="SourceTitle"/>
      </w:pPr>
      <w:r>
        <w:t>R121  OpenAI, current API prices</w:t>
      </w:r>
      <w:bookmarkEnd w:id="123"/>
    </w:p>
    <w:p>
      <w:pPr>
        <w:pStyle w:val="RegisterText"/>
      </w:pPr>
      <w:r>
        <w:t>Official Standard short-context gpt-6.1-sol $2 input/$10 output per million; estimated file transcription $0.0045/minute and live $0.017. Currency USD; tier/context conditions apply.</w:t>
      </w:r>
    </w:p>
    <w:p>
      <w:pPr>
        <w:pStyle w:val="SourceNote"/>
        <w:keepNext/>
      </w:pPr>
      <w:r>
        <w:t>Checked 30 Oct 2026</w:t>
      </w:r>
    </w:p>
    <w:p>
      <w:pPr>
        <w:pStyle w:val="SourceNote"/>
      </w:pPr>
      <w:hyperlink r:id="rId127">
        <w:r>
          <w:rPr>
            <w:color w:val="275E67"/>
            <w:u w:val="single"/>
          </w:rPr>
          <w:t xml:space="preserve">Open source</w:t>
        </w:r>
      </w:hyperlink>
    </w:p>
    <w:p>
      <w:bookmarkStart w:id="124" w:name="source_R122"/>
      <w:pPr>
        <w:pStyle w:val="SourceTitle"/>
      </w:pPr>
      <w:r>
        <w:t>R122  OpenAI, current transcription workflows</w:t>
      </w:r>
      <w:bookmarkEnd w:id="124"/>
    </w:p>
    <w:p>
      <w:pPr>
        <w:pStyle w:val="RegisterText"/>
      </w:pPr>
      <w:r>
        <w:t>Official recorded-file and live transcription guide checked.</w:t>
      </w:r>
    </w:p>
    <w:p>
      <w:pPr>
        <w:pStyle w:val="SourceNote"/>
        <w:keepNext/>
      </w:pPr>
      <w:r>
        <w:t>Checked 30 Oct 2026</w:t>
      </w:r>
    </w:p>
    <w:p>
      <w:pPr>
        <w:pStyle w:val="SourceNote"/>
      </w:pPr>
      <w:hyperlink r:id="rId128">
        <w:r>
          <w:rPr>
            <w:color w:val="275E67"/>
            <w:u w:val="single"/>
          </w:rPr>
          <w:t xml:space="preserve">Open source</w:t>
        </w:r>
      </w:hyperlink>
    </w:p>
    <w:p>
      <w:bookmarkStart w:id="125" w:name="source_R123"/>
      <w:pPr>
        <w:pStyle w:val="SourceTitle"/>
      </w:pPr>
      <w:r>
        <w:t>R123  OpenAI, API credit currency</w:t>
      </w:r>
      <w:bookmarkEnd w:id="125"/>
    </w:p>
    <w:p>
      <w:pPr>
        <w:pStyle w:val="SourceNote"/>
        <w:keepNext/>
      </w:pPr>
      <w:r>
        <w:t>Unverified · Recorded 29 Oct 2026</w:t>
      </w:r>
    </w:p>
    <w:p>
      <w:pPr>
        <w:pStyle w:val="SourceNote"/>
      </w:pPr>
      <w:hyperlink r:id="rId129">
        <w:r>
          <w:rPr>
            <w:color w:val="275E67"/>
            <w:u w:val="single"/>
          </w:rPr>
          <w:t xml:space="preserve">Open source</w:t>
        </w:r>
      </w:hyperlink>
    </w:p>
    <w:p>
      <w:bookmarkStart w:id="126" w:name="source_R124"/>
      <w:pPr>
        <w:pStyle w:val="SourceTitle"/>
      </w:pPr>
      <w:r>
        <w:t>R124  Deepgram, processed multichannel duration pricing rule</w:t>
      </w:r>
      <w:bookmarkEnd w:id="126"/>
    </w:p>
    <w:p>
      <w:pPr>
        <w:pStyle w:val="SourceNote"/>
        <w:keepNext/>
      </w:pPr>
      <w:r>
        <w:t>Unverified · Recorded 29 Oct 2026</w:t>
      </w:r>
    </w:p>
    <w:p>
      <w:pPr>
        <w:pStyle w:val="SourceNote"/>
      </w:pPr>
      <w:hyperlink r:id="rId130">
        <w:r>
          <w:rPr>
            <w:color w:val="275E67"/>
            <w:u w:val="single"/>
          </w:rPr>
          <w:t xml:space="preserve">Open source</w:t>
        </w:r>
      </w:hyperlink>
    </w:p>
    <w:p>
      <w:bookmarkStart w:id="127" w:name="source_R125"/>
      <w:pPr>
        <w:pStyle w:val="SourceTitle"/>
      </w:pPr>
      <w:r>
        <w:t>R125  ATO Payday Super</w:t>
      </w:r>
      <w:bookmarkEnd w:id="127"/>
    </w:p>
    <w:p>
      <w:pPr>
        <w:pStyle w:val="RegisterText"/>
      </w:pPr>
      <w:r>
        <w:t>ATO states 12% of qualifying earnings for Payday Super from 1 July 2026.</w:t>
      </w:r>
    </w:p>
    <w:p>
      <w:pPr>
        <w:pStyle w:val="SourceNote"/>
        <w:keepNext/>
      </w:pPr>
      <w:r>
        <w:t>Checked 30 Oct 2026</w:t>
      </w:r>
    </w:p>
    <w:p>
      <w:pPr>
        <w:pStyle w:val="SourceNote"/>
      </w:pPr>
      <w:hyperlink r:id="rId131">
        <w:r>
          <w:rPr>
            <w:color w:val="275E67"/>
            <w:u w:val="single"/>
          </w:rPr>
          <w:t xml:space="preserve">Open source</w:t>
        </w:r>
      </w:hyperlink>
    </w:p>
    <w:p>
      <w:bookmarkStart w:id="128" w:name="rights"/>
      <w:pPr>
        <w:pStyle w:val="Heading1"/>
        <w:spacing w:before="360"/>
      </w:pPr>
      <w:r>
        <w:t>Rights and provenance</w:t>
      </w:r>
      <w:bookmarkEnd w:id="128"/>
    </w:p>
    <w:p>
      <w:pPr/>
      <w:r>
        <w:t>Original business direction and manuscript: Luke Nathan Hayes / Strange But True / Aura of Intelligence.</w:t>
      </w:r>
    </w:p>
    <w:p>
      <w:pPr/>
      <w:r>
        <w:t>The Strange But True Public Source Licence is copied from Installing the Missing Middle, changing only the project identifier to escape-room-team-building. The substantive terms are unchanged. No Creative Commons or blanket open-source licence has been substituted.</w:t>
      </w:r>
    </w:p>
    <w:p>
      <w:pPr/>
      <w:r>
        <w:t>The presentation follows the established Installing the Missing Middle styling and navigation. Original source documents are preserved byte-for-byte, with their own dates, wording and rights. The source register identifies the material available in the reference archive and how it informs this plan.</w:t>
      </w:r>
    </w:p>
    <w:p>
      <w:pPr/>
      <w:r>
        <w:t>New page heroes are generated concept artwork commissioned for this business plan. Their prompts, local asset paths and generation provenance are retained in content/artwork.json. They illustrate the proposed experience, places and work, and do not establish a completed venue or institutional endorsement.</w:t>
      </w:r>
    </w:p>
    <w:p>
      <w:pPr/>
      <w:r>
        <w:t>Third-party libraries, source documents, services and externally linked material retain their own rights. No font files are bundled.</w:t>
      </w:r>
    </w:p>
    <w:p>
      <w:bookmarkStart w:id="129" w:name="licence"/>
      <w:pPr>
        <w:pStyle w:val="Heading1"/>
        <w:spacing w:before="360"/>
      </w:pPr>
      <w:r>
        <w:t>Strange But True Public Source Licence</w:t>
      </w:r>
      <w:bookmarkEnd w:id="129"/>
    </w:p>
    <w:p>
      <w:pPr>
        <w:spacing w:after="100"/>
      </w:pPr>
      <w:r>
        <w:t>Copyright (c) 2026 Luke Nathan Hayes / Strange But True / Aura of Intelligence. All rights reserved except as allowed below.</w:t>
      </w:r>
    </w:p>
    <w:p>
      <w:pPr>
        <w:spacing w:after="100"/>
      </w:pPr>
      <w:r>
        <w:t>This is a plain-language licence for escape-room-team-building.</w:t>
      </w:r>
    </w:p>
    <w:p>
      <w:pPr>
        <w:spacing w:after="100"/>
      </w:pPr>
      <w:r>
        <w:t>This is not an open-source licence. It is a public source licence: people can read, learn from and use the work personally, but commercial and corporate rights stay with Luke Nathan Hayes.</w:t>
      </w:r>
    </w:p>
    <w:p>
      <w:pPr>
        <w:pStyle w:val="Heading2"/>
        <w:spacing w:before="240"/>
      </w:pPr>
      <w:r>
        <w:t>1. What You Can Do</w:t>
      </w:r>
    </w:p>
    <w:p>
      <w:pPr>
        <w:spacing w:after="100"/>
      </w:pPr>
      <w:r>
        <w:t>You may view, share, clone, study, reference and adapt this repo for personal, educational, artistic, research, community or other non-commercial use.</w:t>
      </w:r>
    </w:p>
    <w:p>
      <w:pPr>
        <w:spacing w:after="100"/>
      </w:pPr>
      <w:r>
        <w:t>You may use a personal AI assistant to help read, explain or adapt the repo for those allowed non-commercial uses.</w:t>
      </w:r>
    </w:p>
    <w:p>
      <w:pPr>
        <w:spacing w:after="100"/>
      </w:pPr>
      <w:r>
        <w:t>If you use or adapt the work, give clear credit:</w:t>
      </w:r>
    </w:p>
    <w:p>
      <w:pPr>
        <w:spacing w:after="100"/>
      </w:pPr>
      <w:r>
        <w:t xml:space="preserve">Based on escape-room-team-building by Luke Nathan Hayes / Strange But True / Aura of Intelligence. Original project: </w:t>
      </w:r>
      <w:hyperlink r:id="rId132">
        <w:r>
          <w:rPr>
            <w:color w:val="275E67"/>
            <w:u w:val="single"/>
          </w:rPr>
          <w:t xml:space="preserve">https://github.com/auraofintelligence/escape-room-team-building</w:t>
        </w:r>
      </w:hyperlink>
      <w:r/>
      <w:r>
        <w:t xml:space="preserve"> Used under the Strange But True Public Source Licence.</w:t>
      </w:r>
    </w:p>
    <w:p>
      <w:pPr>
        <w:pStyle w:val="Heading2"/>
        <w:spacing w:before="240"/>
      </w:pPr>
      <w:r>
        <w:t>2. What You Cannot Do Without Permission</w:t>
      </w:r>
    </w:p>
    <w:p>
      <w:pPr>
        <w:spacing w:after="100"/>
      </w:pPr>
      <w:r>
        <w:t>You may not use this repo, its code, ideas, text, designs, workflows, data structures, assets, names or close derivatives for commercial, corporate, institutional, government, startup, agency, client or employer purposes without written permission from Luke Nathan Hayes.</w:t>
      </w:r>
    </w:p>
    <w:p>
      <w:pPr>
        <w:spacing w:after="100"/>
      </w:pPr>
      <w:r>
        <w:t>That means you may not:</w:t>
      </w:r>
    </w:p>
    <w:p>
      <w:pPr>
        <w:pStyle w:val="ListBullet"/>
        <w:spacing w:after="100"/>
      </w:pPr>
      <w:r>
        <w:t>sell, monetise, repackage, licence, sponsor, advertise with or commercially distribute the work;</w:t>
      </w:r>
    </w:p>
    <w:p>
      <w:pPr>
        <w:pStyle w:val="ListBullet"/>
        <w:spacing w:after="100"/>
      </w:pPr>
      <w:r>
        <w:t>use it in paid products, SaaS tools, client work, consulting, courses, workshops, dashboards, templates or commercial infrastructure;</w:t>
      </w:r>
    </w:p>
    <w:p>
      <w:pPr>
        <w:pStyle w:val="ListBullet"/>
        <w:spacing w:after="100"/>
      </w:pPr>
      <w:r>
        <w:t>use it inside a company, agency, startup, institution, government body or funded commercial project;</w:t>
      </w:r>
    </w:p>
    <w:p>
      <w:pPr>
        <w:pStyle w:val="ListBullet"/>
        <w:spacing w:after="100"/>
      </w:pPr>
      <w:r>
        <w:t>use it for commercial AI training, datasets, embeddings, knowledge bases, agents, model products or evaluation systems;</w:t>
      </w:r>
    </w:p>
    <w:p>
      <w:pPr>
        <w:pStyle w:val="ListBullet"/>
        <w:spacing w:after="100"/>
      </w:pPr>
      <w:r>
        <w:t>remove attribution or present the work as your own;</w:t>
      </w:r>
    </w:p>
    <w:p>
      <w:pPr>
        <w:pStyle w:val="ListBullet"/>
        <w:spacing w:after="100"/>
      </w:pPr>
      <w:r>
        <w:t>use Strange But True, Aura of Intelligence, Luke Nathan Hayes, project names, screenshots, music, writing, images or brand material to imply endorsement, partnership or approval.</w:t>
      </w:r>
    </w:p>
    <w:p>
      <w:pPr>
        <w:pStyle w:val="Heading2"/>
        <w:spacing w:before="240"/>
      </w:pPr>
      <w:r>
        <w:t>3. Commercial Rights</w:t>
      </w:r>
    </w:p>
    <w:p>
      <w:pPr>
        <w:spacing w:after="100"/>
      </w:pPr>
      <w:r>
        <w:t>All commercial rights are reserved to Luke Nathan Hayes.</w:t>
      </w:r>
    </w:p>
    <w:p>
      <w:pPr>
        <w:spacing w:after="100"/>
      </w:pPr>
      <w:r>
        <w:t>Commercial use requires written permission from Luke Nathan Hayes. Permission can be granted, denied, limited, priced or handled under a separate agreement.</w:t>
      </w:r>
    </w:p>
    <w:p>
      <w:pPr>
        <w:pStyle w:val="Heading2"/>
        <w:spacing w:before="240"/>
      </w:pPr>
      <w:r>
        <w:t>4. Your Own Outputs</w:t>
      </w:r>
    </w:p>
    <w:p>
      <w:pPr>
        <w:spacing w:after="100"/>
      </w:pPr>
      <w:r>
        <w:t>If this repo lets you create your own notes, Markdown files, exports, maps, profiles, plans or other personal outputs, those outputs belong to you.</w:t>
      </w:r>
    </w:p>
    <w:p>
      <w:pPr>
        <w:spacing w:after="100"/>
      </w:pPr>
      <w:r>
        <w:t>You are responsible for what you put into the tool, what you export, and where you share it.</w:t>
      </w:r>
    </w:p>
    <w:p>
      <w:pPr>
        <w:pStyle w:val="Heading2"/>
        <w:spacing w:before="240"/>
      </w:pPr>
      <w:r>
        <w:t>5. Third-Party Material</w:t>
      </w:r>
    </w:p>
    <w:p>
      <w:pPr>
        <w:spacing w:after="100"/>
      </w:pPr>
      <w:r>
        <w:t>This licence only covers original material created by Luke Nathan Hayes / Strange But True / Aura of Intelligence.</w:t>
      </w:r>
    </w:p>
    <w:p>
      <w:pPr>
        <w:spacing w:after="100"/>
      </w:pPr>
      <w:r>
        <w:t>Third-party libraries, fonts, APIs, platforms, services or embedded material keep their own licences.</w:t>
      </w:r>
    </w:p>
    <w:p>
      <w:pPr>
        <w:pStyle w:val="Heading2"/>
        <w:spacing w:before="240"/>
      </w:pPr>
      <w:r>
        <w:t>6. No Harmful Or Misleading Use</w:t>
      </w:r>
    </w:p>
    <w:p>
      <w:pPr>
        <w:spacing w:after="100"/>
      </w:pPr>
      <w:r>
        <w:t>You may not use this repo or its material for deceptive, exploitative, aggressive, hateful, harassing, unsafe or harmful purposes.</w:t>
      </w:r>
    </w:p>
    <w:p>
      <w:pPr>
        <w:spacing w:after="100"/>
      </w:pPr>
      <w:r>
        <w:t>You may not use it to mislead people about privacy, security, law, finance, health, public safety, governance, crypto, AI capability or current events.</w:t>
      </w:r>
    </w:p>
    <w:p>
      <w:pPr>
        <w:pStyle w:val="Heading2"/>
        <w:spacing w:before="240"/>
      </w:pPr>
      <w:r>
        <w:t>7. No Warranty</w:t>
      </w:r>
    </w:p>
    <w:p>
      <w:pPr>
        <w:spacing w:after="100"/>
      </w:pPr>
      <w:r>
        <w:t>This repo is provided as-is.</w:t>
      </w:r>
    </w:p>
    <w:p>
      <w:pPr>
        <w:spacing w:after="100"/>
      </w:pPr>
      <w:r>
        <w:t>Luke Nathan Hayes / Strange But True / Aura of Intelligence make no warranties and accept no liability for how you use, adapt, interpret, deploy or rely on this material.</w:t>
      </w:r>
    </w:p>
    <w:p>
      <w:pPr>
        <w:spacing w:after="100"/>
      </w:pPr>
      <w:r>
        <w:t>Public prototypes are not finished legal, medical, financial, privacy, security, public-safety, governance, crypto, AI-governance or production infrastructure unless Luke Nathan Hayes explicitly says so in writing.</w:t>
      </w:r>
    </w:p>
    <w:sectPr w:rsidR="00FC693F" w:rsidRPr="0006063C" w:rsidSect="00034616">
      <w:footerReference w:type="default" r:id="rId9"/>
      <w:pgSz w:w="12240" w:h="15840"/>
      <w:pgMar w:top="936" w:right="1044" w:bottom="936" w:left="1044"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Metadata"/>
      <w:tabs>
        <w:tab w:pos="10152" w:val="right"/>
      </w:tabs>
      <w:spacing w:after="0"/>
    </w:pPr>
    <w:r>
      <w:t>Escape Room Team Building  |  Luke Nathan Hayes</w:t>
      <w:tab/>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eastAsia="Arial" w:cs="Arial"/>
      <w:b w:val="0"/>
      <w:color w:val="000000"/>
      <w:sz w:val="22"/>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54" w:lineRule="auto"/>
      <w:outlineLvl w:val="0"/>
    </w:pPr>
    <w:rPr>
      <w:rFonts w:asciiTheme="majorHAnsi" w:eastAsiaTheme="majorEastAsia" w:hAnsiTheme="majorHAnsi" w:cstheme="majorBidi" w:ascii="Arial" w:hAnsi="Arial" w:eastAsia="Arial" w:cs="Arial"/>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320" w:after="140" w:line="254" w:lineRule="auto"/>
      <w:outlineLvl w:val="1"/>
    </w:pPr>
    <w:rPr>
      <w:rFonts w:asciiTheme="majorHAnsi" w:eastAsiaTheme="majorEastAsia" w:hAnsiTheme="majorHAnsi" w:cstheme="majorBidi" w:ascii="Arial" w:hAnsi="Arial" w:eastAsia="Arial" w:cs="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254" w:lineRule="auto"/>
      <w:outlineLvl w:val="2"/>
    </w:pPr>
    <w:rPr>
      <w:rFonts w:asciiTheme="majorHAnsi" w:eastAsiaTheme="majorEastAsia" w:hAnsiTheme="majorHAnsi" w:cstheme="majorBidi" w:ascii="Arial" w:hAnsi="Arial" w:eastAsia="Arial" w:cs="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00" w:line="254" w:lineRule="auto" w:before="0"/>
      <w:contextualSpacing/>
    </w:pPr>
    <w:rPr>
      <w:rFonts w:asciiTheme="majorHAnsi" w:eastAsiaTheme="majorEastAsia" w:hAnsiTheme="majorHAnsi" w:cstheme="majorBidi" w:ascii="Arial" w:hAnsi="Arial" w:eastAsia="Arial" w:cs="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00" w:line="254" w:lineRule="auto"/>
    </w:pPr>
    <w:rPr>
      <w:rFonts w:asciiTheme="majorHAnsi" w:eastAsiaTheme="majorEastAsia" w:hAnsiTheme="majorHAnsi" w:cstheme="majorBidi" w:ascii="Arial" w:hAnsi="Arial" w:eastAsia="Arial" w:cs="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4" w:lineRule="auto" w:after="100"/>
      <w:contextualSpacing/>
    </w:pPr>
    <w:rPr>
      <w:rFonts w:ascii="Arial" w:hAnsi="Arial" w:eastAsia="Arial" w:cs="Arial"/>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64" w:lineRule="auto" w:after="100"/>
      <w:contextualSpacing/>
    </w:pPr>
    <w:rPr>
      <w:rFonts w:ascii="Arial" w:hAnsi="Arial" w:eastAsia="Arial" w:cs="Arial"/>
      <w:b w:val="0"/>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basedOn w:val="Normal"/>
    <w:pPr>
      <w:spacing w:line="264" w:lineRule="auto" w:after="120"/>
    </w:pPr>
    <w:rPr>
      <w:rFonts w:ascii="Arial" w:hAnsi="Arial" w:eastAsia="Arial" w:cs="Arial"/>
      <w:b w:val="0"/>
      <w:color w:val="000000"/>
      <w:sz w:val="26"/>
    </w:rPr>
  </w:style>
  <w:style w:type="paragraph" w:customStyle="1" w:styleId="Metadata">
    <w:name w:val="Metadata"/>
    <w:basedOn w:val="Normal"/>
    <w:pPr>
      <w:spacing w:line="264" w:lineRule="auto" w:after="120"/>
    </w:pPr>
    <w:rPr>
      <w:rFonts w:ascii="Arial" w:hAnsi="Arial" w:eastAsia="Arial" w:cs="Arial"/>
      <w:b w:val="0"/>
      <w:color w:val="526568"/>
      <w:sz w:val="19"/>
    </w:rPr>
  </w:style>
  <w:style w:type="paragraph" w:customStyle="1" w:styleId="SourceNote">
    <w:name w:val="SourceNote"/>
    <w:basedOn w:val="Normal"/>
    <w:pPr>
      <w:spacing w:line="264" w:lineRule="auto" w:after="120"/>
    </w:pPr>
    <w:rPr>
      <w:rFonts w:ascii="Arial" w:hAnsi="Arial" w:eastAsia="Arial" w:cs="Arial"/>
      <w:b w:val="0"/>
      <w:color w:val="526568"/>
      <w:sz w:val="18"/>
    </w:rPr>
  </w:style>
  <w:style w:type="paragraph" w:customStyle="1" w:styleId="TableText">
    <w:name w:val="TableText"/>
    <w:basedOn w:val="Normal"/>
    <w:pPr>
      <w:spacing w:line="254" w:lineRule="auto" w:after="0"/>
    </w:pPr>
    <w:rPr>
      <w:rFonts w:ascii="Arial" w:hAnsi="Arial" w:eastAsia="Arial" w:cs="Arial"/>
      <w:b w:val="0"/>
      <w:color w:val="000000"/>
      <w:sz w:val="20"/>
    </w:rPr>
  </w:style>
  <w:style w:type="paragraph" w:customStyle="1" w:styleId="TableHead">
    <w:name w:val="TableHead"/>
    <w:basedOn w:val="Normal"/>
    <w:pPr>
      <w:keepNext/>
      <w:spacing w:line="254" w:lineRule="auto" w:after="0"/>
    </w:pPr>
    <w:rPr>
      <w:rFonts w:ascii="Arial" w:hAnsi="Arial" w:eastAsia="Arial" w:cs="Arial"/>
      <w:b/>
      <w:color w:val="FFFFFF"/>
      <w:sz w:val="20"/>
    </w:rPr>
  </w:style>
  <w:style w:type="paragraph" w:customStyle="1" w:styleId="Contents">
    <w:name w:val="Contents"/>
    <w:basedOn w:val="Normal"/>
    <w:pPr>
      <w:tabs>
        <w:tab w:pos="10152" w:val="right" w:leader="dot"/>
      </w:tabs>
      <w:spacing w:line="264" w:lineRule="auto" w:after="220"/>
    </w:pPr>
    <w:rPr>
      <w:rFonts w:ascii="Arial" w:hAnsi="Arial" w:eastAsia="Arial" w:cs="Arial"/>
      <w:b w:val="0"/>
      <w:color w:val="000000"/>
      <w:sz w:val="22"/>
    </w:rPr>
  </w:style>
  <w:style w:type="paragraph" w:customStyle="1" w:styleId="SourceTitle">
    <w:name w:val="SourceTitle"/>
    <w:basedOn w:val="Normal"/>
    <w:pPr>
      <w:keepNext/>
      <w:spacing w:line="264" w:lineRule="auto" w:after="120" w:before="200"/>
    </w:pPr>
    <w:rPr>
      <w:rFonts w:ascii="Arial" w:hAnsi="Arial" w:eastAsia="Arial" w:cs="Arial"/>
      <w:b/>
      <w:color w:val="000000"/>
      <w:sz w:val="22"/>
    </w:rPr>
  </w:style>
  <w:style w:type="paragraph" w:customStyle="1" w:styleId="RegisterText">
    <w:name w:val="RegisterText"/>
    <w:basedOn w:val="Normal"/>
    <w:pPr>
      <w:spacing w:line="264" w:lineRule="auto" w:after="120"/>
    </w:pPr>
    <w:rPr>
      <w:rFonts w:ascii="Arial" w:hAnsi="Arial" w:eastAsia="Arial" w:cs="Arial"/>
      <w:b w:val="0"/>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uraofintelligence.github.io/aura-genesis-geode-atlas/" TargetMode="External"/><Relationship Id="rId11" Type="http://schemas.openxmlformats.org/officeDocument/2006/relationships/hyperlink" Target="https://github.com/auraofintelligence/p4a-xyz-cinema" TargetMode="External"/><Relationship Id="rId12" Type="http://schemas.openxmlformats.org/officeDocument/2006/relationships/hyperlink" Target="https://auraofintelligence.github.io/escape-room-team-building/index.html#capacity-and-market-prices" TargetMode="External"/><Relationship Id="rId13" Type="http://schemas.openxmlformats.org/officeDocument/2006/relationships/image" Target="media/image1.png"/><Relationship Id="rId14" Type="http://schemas.openxmlformats.org/officeDocument/2006/relationships/hyperlink" Target="https://auraofintelligence.github.io/escape-room-team-building/" TargetMode="External"/><Relationship Id="rId15" Type="http://schemas.openxmlformats.org/officeDocument/2006/relationships/hyperlink" Target="https://auraofintelligence.github.io/escape-room-team-building/sources.html" TargetMode="External"/><Relationship Id="rId16" Type="http://schemas.openxmlformats.org/officeDocument/2006/relationships/hyperlink" Target="https://auraofintelligence.github.io/escape-room-team-building/economics.html#new-and-secondhand-furnishings" TargetMode="External"/><Relationship Id="rId17" Type="http://schemas.openxmlformats.org/officeDocument/2006/relationships/hyperlink" Target="https://auraofintelligence.github.io/escape-room-team-building/economics.html#labour-and-installation-rates" TargetMode="External"/><Relationship Id="rId18" Type="http://schemas.openxmlformats.org/officeDocument/2006/relationships/hyperlink" Target="https://auraofintelligence.github.io/escape-room-team-building/economics.html#recording-and-ai-usage-costs" TargetMode="External"/><Relationship Id="rId19" Type="http://schemas.openxmlformats.org/officeDocument/2006/relationships/hyperlink" Target="https://auraofintelligence.github.io/escape-room-team-building/content/finance.json" TargetMode="External"/><Relationship Id="rId20" Type="http://schemas.openxmlformats.org/officeDocument/2006/relationships/hyperlink" Target="https://auraofintelligence.github.io/escape-room-team-building/finance.html#contribution-and-break-even" TargetMode="External"/><Relationship Id="rId21" Type="http://schemas.openxmlformats.org/officeDocument/2006/relationships/hyperlink" Target="https://auraofintelligence.github.io/escape-room-team-building/finance.html#pass-settlement" TargetMode="External"/><Relationship Id="rId22" Type="http://schemas.openxmlformats.org/officeDocument/2006/relationships/hyperlink" Target="https://auraofintelligence.github.io/escape-room-team-building/renewal.html#asset-and-content-renewal" TargetMode="External"/><Relationship Id="rId23" Type="http://schemas.openxmlformats.org/officeDocument/2006/relationships/hyperlink" Target="https://auraofintelligence.github.io/escape-room-team-building/briefs/approval-register.md" TargetMode="External"/><Relationship Id="rId24" Type="http://schemas.openxmlformats.org/officeDocument/2006/relationships/hyperlink" Target="https://auraofintelligence.github.io/escape-room-team-building/content/sources.json" TargetMode="External"/><Relationship Id="rId25" Type="http://schemas.openxmlformats.org/officeDocument/2006/relationships/hyperlink" Target="https://auraofintelligence.github.io/escape-room-team-building/content/embedded-links.json" TargetMode="External"/><Relationship Id="rId26" Type="http://schemas.openxmlformats.org/officeDocument/2006/relationships/hyperlink" Target="https://auraofintelligence.github.io/escape-room-team-building/documents/originals/A%20Fair%20Go%20for%20the%20AI%20Age_%20Postcode-Level%20Sovereign%20Compute%20as%20Shared%20National%20Infrastructure%2820261029-080505%29.docx" TargetMode="External"/><Relationship Id="rId27" Type="http://schemas.openxmlformats.org/officeDocument/2006/relationships/hyperlink" Target="https://auraofintelligence.github.io/escape-room-team-building/documents/readers/D01.html" TargetMode="External"/><Relationship Id="rId28" Type="http://schemas.openxmlformats.org/officeDocument/2006/relationships/hyperlink" Target="https://raw.githubusercontent.com/auraofintelligence/Redlands_discovers_Luke_Hayes/2a8990819b78fda139f9948068f9bdfdd9fa58d9/references/files/hayes-fair-go-ai-age-postcode-sovereign-compute-2026-08-18.docx" TargetMode="External"/><Relationship Id="rId29" Type="http://schemas.openxmlformats.org/officeDocument/2006/relationships/hyperlink" Target="https://auraofintelligence.github.io/escape-room-team-building/documents/originals/AUKUS_Public_Inquiry_Submission_Luke_Nathan_Hayes_2026%2820261029-080505%29.docx" TargetMode="External"/><Relationship Id="rId30" Type="http://schemas.openxmlformats.org/officeDocument/2006/relationships/hyperlink" Target="https://auraofintelligence.github.io/escape-room-team-building/documents/readers/D02.html" TargetMode="External"/><Relationship Id="rId31" Type="http://schemas.openxmlformats.org/officeDocument/2006/relationships/hyperlink" Target="https://raw.githubusercontent.com/auraofintelligence/UNGA81-Luke-Hayes/12afc71ba7375a2096ab4c307934198568e58bed/documents/AUKUS_Public_Inquiry_Submission_Luke_Nathan_Hayes_2026.docx" TargetMode="External"/><Relationship Id="rId32" Type="http://schemas.openxmlformats.org/officeDocument/2006/relationships/hyperlink" Target="https://auraofintelligence.github.io/escape-room-team-building/documents/originals/Aura_Genesis_Children_and_Teens_Australian_Care%282%29.docx" TargetMode="External"/><Relationship Id="rId33" Type="http://schemas.openxmlformats.org/officeDocument/2006/relationships/hyperlink" Target="https://auraofintelligence.github.io/escape-room-team-building/documents/readers/D03.html" TargetMode="External"/><Relationship Id="rId34" Type="http://schemas.openxmlformats.org/officeDocument/2006/relationships/hyperlink" Target="https://raw.githubusercontent.com/auraofintelligence/aura-child-services/4d879d2eb14c46fd7ea4292760ac9e9fc5ada96f/documents/Aura_Genesis_Children_and_Teens_Australian_Care.docx" TargetMode="External"/><Relationship Id="rId35" Type="http://schemas.openxmlformats.org/officeDocument/2006/relationships/hyperlink" Target="https://auraofintelligence.github.io/escape-room-team-building/documents/originals/Aura_Genesis_Geode_Development_Edition_3%284%29.pdf" TargetMode="External"/><Relationship Id="rId36" Type="http://schemas.openxmlformats.org/officeDocument/2006/relationships/hyperlink" Target="https://auraofintelligence.github.io/escape-room-team-building/documents/readers/D04.html" TargetMode="External"/><Relationship Id="rId37" Type="http://schemas.openxmlformats.org/officeDocument/2006/relationships/hyperlink" Target="https://raw.githubusercontent.com/auraofintelligence/open-record-luke-nathan-hayes/e4ffea29e5ba99ec4a3caa256277658bb87d3fb0/documents/supplementary/Aura_Genesis_Geode_Development_Edition_3.pdf" TargetMode="External"/><Relationship Id="rId38" Type="http://schemas.openxmlformats.org/officeDocument/2006/relationships/hyperlink" Target="https://auraofintelligence.github.io/escape-room-team-building/documents/originals/Aura_Teacher_Training_60_Days%287%29.pdf" TargetMode="External"/><Relationship Id="rId39" Type="http://schemas.openxmlformats.org/officeDocument/2006/relationships/hyperlink" Target="https://auraofintelligence.github.io/escape-room-team-building/documents/readers/D05.html" TargetMode="External"/><Relationship Id="rId40" Type="http://schemas.openxmlformats.org/officeDocument/2006/relationships/hyperlink" Target="https://raw.githubusercontent.com/auraofintelligence/Redlands_discovers_Luke_Hayes/2a8990819b78fda139f9948068f9bdfdd9fa58d9/references/files/hayes-aura-teacher-training-sixty-days-2026-10-14.pdf" TargetMode="External"/><Relationship Id="rId41" Type="http://schemas.openxmlformats.org/officeDocument/2006/relationships/hyperlink" Target="https://auraofintelligence.github.io/escape-room-team-building/documents/originals/Aura_of_Intelligence_Adaptive_Whole_of_Life_Support%282%29.docx" TargetMode="External"/><Relationship Id="rId42" Type="http://schemas.openxmlformats.org/officeDocument/2006/relationships/hyperlink" Target="https://auraofintelligence.github.io/escape-room-team-building/documents/readers/D06.html" TargetMode="External"/><Relationship Id="rId43" Type="http://schemas.openxmlformats.org/officeDocument/2006/relationships/hyperlink" Target="https://raw.githubusercontent.com/auraofintelligence/aura-whole-of-life/9197431e5064a8c9ebdea8d36f9ef79561e8a2aa/documents/Aura_of_Intelligence_Adaptive_Whole_of_Life_Support.docx" TargetMode="External"/><Relationship Id="rId44" Type="http://schemas.openxmlformats.org/officeDocument/2006/relationships/hyperlink" Target="https://auraofintelligence.github.io/escape-room-team-building/documents/originals/Aura_of_Intelligence_Tourism_and_Domestic_Travel%282%29.docx" TargetMode="External"/><Relationship Id="rId45" Type="http://schemas.openxmlformats.org/officeDocument/2006/relationships/hyperlink" Target="https://auraofintelligence.github.io/escape-room-team-building/documents/readers/D07.html" TargetMode="External"/><Relationship Id="rId46" Type="http://schemas.openxmlformats.org/officeDocument/2006/relationships/hyperlink" Target="https://raw.githubusercontent.com/auraofintelligence/aura-tourism/7c2b6af8cf109475444597d8a9b3760aa593b081/sources/originals/Aura_of_Intelligence_Tourism_and_Domestic_Travel.docx" TargetMode="External"/><Relationship Id="rId47" Type="http://schemas.openxmlformats.org/officeDocument/2006/relationships/hyperlink" Target="https://auraofintelligence.github.io/escape-room-team-building/documents/originals/Building%20an%20Australian%20Legal%20RAG%20System%2820261029-080516%29.pdf" TargetMode="External"/><Relationship Id="rId48" Type="http://schemas.openxmlformats.org/officeDocument/2006/relationships/hyperlink" Target="https://auraofintelligence.github.io/escape-room-team-building/documents/readers/D08.html" TargetMode="External"/><Relationship Id="rId49" Type="http://schemas.openxmlformats.org/officeDocument/2006/relationships/hyperlink" Target="https://raw.githubusercontent.com/auraofintelligence/aura-disaster-resilience/e781e7c2f24c2cf38f6ab422790247cde86b889f/sources/documents/Building%20an%20Australian%20Legal%20RAG%20System.pdf" TargetMode="External"/><Relationship Id="rId50" Type="http://schemas.openxmlformats.org/officeDocument/2006/relationships/hyperlink" Target="https://auraofintelligence.github.io/escape-room-team-building/documents/originals/Do%20Not%20Put%20All%20Our%20Eggs%20in%20One%20Basket%289%29.docx" TargetMode="External"/><Relationship Id="rId51" Type="http://schemas.openxmlformats.org/officeDocument/2006/relationships/hyperlink" Target="https://auraofintelligence.github.io/escape-room-team-building/documents/readers/D09.html" TargetMode="External"/><Relationship Id="rId52" Type="http://schemas.openxmlformats.org/officeDocument/2006/relationships/hyperlink" Target="https://raw.githubusercontent.com/auraofintelligence/aura-disaster-resilience/e781e7c2f24c2cf38f6ab422790247cde86b889f/sources/documents/Do%20Not%20Put%20All%20Our%20Eggs%20in%20One%20Basket.docx" TargetMode="External"/><Relationship Id="rId53" Type="http://schemas.openxmlformats.org/officeDocument/2006/relationships/hyperlink" Target="https://auraofintelligence.github.io/escape-room-team-building/documents/originals/Fiji_Australia_Vuvale_Union_Submission_Luke_Nathan_Hayes_2026%2820261029-080505%29.docx" TargetMode="External"/><Relationship Id="rId54" Type="http://schemas.openxmlformats.org/officeDocument/2006/relationships/hyperlink" Target="https://auraofintelligence.github.io/escape-room-team-building/documents/readers/D10.html" TargetMode="External"/><Relationship Id="rId55" Type="http://schemas.openxmlformats.org/officeDocument/2006/relationships/hyperlink" Target="https://raw.githubusercontent.com/auraofintelligence/UNGA81-Luke-Hayes/12afc71ba7375a2096ab4c307934198568e58bed/documents/fiji-australia-vuvale-union-submission.docx" TargetMode="External"/><Relationship Id="rId56" Type="http://schemas.openxmlformats.org/officeDocument/2006/relationships/hyperlink" Target="https://auraofintelligence.github.io/escape-room-team-building/documents/originals/Ocean_of_Peace_Alliance_Veitacini_Treaty_Submission_Luke_Nathan_Hayes_2026%2820261029-080506%29.docx" TargetMode="External"/><Relationship Id="rId57" Type="http://schemas.openxmlformats.org/officeDocument/2006/relationships/hyperlink" Target="https://auraofintelligence.github.io/escape-room-team-building/documents/readers/D12.html" TargetMode="External"/><Relationship Id="rId58" Type="http://schemas.openxmlformats.org/officeDocument/2006/relationships/hyperlink" Target="https://raw.githubusercontent.com/auraofintelligence/UNGA81-Luke-Hayes/12afc71ba7375a2096ab4c307934198568e58bed/documents/Ocean_of_Peace_Alliance_Veitacini_Treaty_Submission_Luke_Nathan_Hayes_2026.docx" TargetMode="External"/><Relationship Id="rId59" Type="http://schemas.openxmlformats.org/officeDocument/2006/relationships/hyperlink" Target="https://auraofintelligence.github.io/escape-room-team-building/documents/originals/SETCo%202026%20Pitch%20Plan%20Revision%2820261029-080533%29.pdf" TargetMode="External"/><Relationship Id="rId60" Type="http://schemas.openxmlformats.org/officeDocument/2006/relationships/hyperlink" Target="https://auraofintelligence.github.io/escape-room-team-building/documents/readers/D13.html" TargetMode="External"/><Relationship Id="rId61" Type="http://schemas.openxmlformats.org/officeDocument/2006/relationships/hyperlink" Target="https://raw.githubusercontent.com/auraofintelligence/Redlands_discovers_Luke_Hayes/2a8990819b78fda139f9948068f9bdfdd9fa58d9/references/files/hayes-ready-set-co-2026-strategy-undated.pdf" TargetMode="External"/><Relationship Id="rId62" Type="http://schemas.openxmlformats.org/officeDocument/2006/relationships/hyperlink" Target="https://auraofintelligence.github.io/escape-room-team-building/documents/originals/Web3%20Sensorium%20for%20Science%20Debate%2820261029-083308%29.pdf" TargetMode="External"/><Relationship Id="rId63" Type="http://schemas.openxmlformats.org/officeDocument/2006/relationships/hyperlink" Target="https://auraofintelligence.github.io/escape-room-team-building/documents/readers/D14.html" TargetMode="External"/><Relationship Id="rId64" Type="http://schemas.openxmlformats.org/officeDocument/2006/relationships/hyperlink" Target="https://raw.githubusercontent.com/auraofintelligence/Redlands_discovers_Luke_Hayes/2a8990819b78fda139f9948068f9bdfdd9fa58d9/references/files/hayes-decentralized-global-sensorium-strategic-plan-undated.pdf" TargetMode="External"/><Relationship Id="rId65" Type="http://schemas.openxmlformats.org/officeDocument/2006/relationships/hyperlink" Target="https://auraofintelligence.github.io/escape-room-team-building/documents/originals/Local-Government-Funding-Submission-Public-Copy.pdf" TargetMode="External"/><Relationship Id="rId66" Type="http://schemas.openxmlformats.org/officeDocument/2006/relationships/hyperlink" Target="https://auraofintelligence.github.io/escape-room-team-building/documents/readers/D15.html" TargetMode="External"/><Relationship Id="rId67" Type="http://schemas.openxmlformats.org/officeDocument/2006/relationships/hyperlink" Target="https://raw.githubusercontent.com/auraofintelligence/Redlands_discovers_Luke_Hayes/main/references/files/hayes-local-government-funding-submission-2-undated.pdf" TargetMode="External"/><Relationship Id="rId68" Type="http://schemas.openxmlformats.org/officeDocument/2006/relationships/hyperlink" Target="https://auraofintelligence.github.io/UNGA81-Luke-Hayes/" TargetMode="External"/><Relationship Id="rId69" Type="http://schemas.openxmlformats.org/officeDocument/2006/relationships/hyperlink" Target="https://auraofintelligence.github.io/ready-set-co-op-cultural-intelligence-node/index.html" TargetMode="External"/><Relationship Id="rId70" Type="http://schemas.openxmlformats.org/officeDocument/2006/relationships/hyperlink" Target="https://auraofintelligence.github.io/ready-set-co-op-trust-hub/" TargetMode="External"/><Relationship Id="rId71" Type="http://schemas.openxmlformats.org/officeDocument/2006/relationships/hyperlink" Target="https://auraofintelligence.github.io/500-Queens-VC-2026/" TargetMode="External"/><Relationship Id="rId72" Type="http://schemas.openxmlformats.org/officeDocument/2006/relationships/hyperlink" Target="https://auraofintelligence.github.io/mutual-futures/" TargetMode="External"/><Relationship Id="rId73" Type="http://schemas.openxmlformats.org/officeDocument/2006/relationships/hyperlink" Target="https://auraofintelligence.github.io/australian-law-2012-lukes-relevance/" TargetMode="External"/><Relationship Id="rId74" Type="http://schemas.openxmlformats.org/officeDocument/2006/relationships/hyperlink" Target="https://github.com/auraofintelligence/australian-legal-engine" TargetMode="External"/><Relationship Id="rId75" Type="http://schemas.openxmlformats.org/officeDocument/2006/relationships/hyperlink" Target="https://auraofintelligence.github.io/legal-memory-workbench/" TargetMode="External"/><Relationship Id="rId76" Type="http://schemas.openxmlformats.org/officeDocument/2006/relationships/hyperlink" Target="https://auraofintelligence.github.io/C-Hour-introduction/" TargetMode="External"/><Relationship Id="rId77" Type="http://schemas.openxmlformats.org/officeDocument/2006/relationships/hyperlink" Target="https://p4a.xyz/" TargetMode="External"/><Relationship Id="rId78" Type="http://schemas.openxmlformats.org/officeDocument/2006/relationships/hyperlink" Target="https://auraofintelligence.github.io/Oceania-healthy-de-slop-co-ops/" TargetMode="External"/><Relationship Id="rId79" Type="http://schemas.openxmlformats.org/officeDocument/2006/relationships/hyperlink" Target="https://github.com/auraofintelligence/Anglican-Diocese-82-Claytons-Amity" TargetMode="External"/><Relationship Id="rId80" Type="http://schemas.openxmlformats.org/officeDocument/2006/relationships/hyperlink" Target="https://github.com/auraofintelligence/installing-the-missing-middle" TargetMode="External"/><Relationship Id="rId81" Type="http://schemas.openxmlformats.org/officeDocument/2006/relationships/hyperlink" Target="https://www.tra.gov.au/" TargetMode="External"/><Relationship Id="rId82" Type="http://schemas.openxmlformats.org/officeDocument/2006/relationships/hyperlink" Target="https://www.tra.gov.au/en/tourism-statistics/domestic-tourism-statistics-results" TargetMode="External"/><Relationship Id="rId83" Type="http://schemas.openxmlformats.org/officeDocument/2006/relationships/hyperlink" Target="https://www.abs.gov.au/statistics/people/education/schools/latest-release" TargetMode="External"/><Relationship Id="rId84" Type="http://schemas.openxmlformats.org/officeDocument/2006/relationships/hyperlink" Target="https://www.tra.gov.au/en/tourism-statistics/business-events-data" TargetMode="External"/><Relationship Id="rId85" Type="http://schemas.openxmlformats.org/officeDocument/2006/relationships/hyperlink" Target="https://www.tourism.australia.com/en/resources/industry-resources/trade-show-tips/the-travel-distribution-system.html" TargetMode="External"/><Relationship Id="rId86" Type="http://schemas.openxmlformats.org/officeDocument/2006/relationships/hyperlink" Target="https://www.tourism.australia.com/en/resources/industry-resources/building-your-tourism-business/getting-your-product-on-australia-com.html" TargetMode="External"/><Relationship Id="rId87" Type="http://schemas.openxmlformats.org/officeDocument/2006/relationships/hyperlink" Target="https://foxinaboxbrisbane.com/corporate-events/" TargetMode="External"/><Relationship Id="rId88" Type="http://schemas.openxmlformats.org/officeDocument/2006/relationships/hyperlink" Target="https://foxinaboxbrisbane.com/" TargetMode="External"/><Relationship Id="rId89" Type="http://schemas.openxmlformats.org/officeDocument/2006/relationships/hyperlink" Target="https://www.redlockescaperooms.com.au/pricing/" TargetMode="External"/><Relationship Id="rId90" Type="http://schemas.openxmlformats.org/officeDocument/2006/relationships/hyperlink" Target="https://www.teamescape.com.au/capacity/" TargetMode="External"/><Relationship Id="rId91" Type="http://schemas.openxmlformats.org/officeDocument/2006/relationships/hyperlink" Target="https://www.amicus.com.au/projects/the-great-escape-melbourne" TargetMode="External"/><Relationship Id="rId92" Type="http://schemas.openxmlformats.org/officeDocument/2006/relationships/hyperlink" Target="https://greatescapeau.com/melbourne/game-overview/?venue=melbourne" TargetMode="External"/><Relationship Id="rId93" Type="http://schemas.openxmlformats.org/officeDocument/2006/relationships/hyperlink" Target="https://www.missionsydney.com/trapped/" TargetMode="External"/><Relationship Id="rId94" Type="http://schemas.openxmlformats.org/officeDocument/2006/relationships/hyperlink" Target="https://erworkshop.com/escape-room-supplier-australia/" TargetMode="External"/><Relationship Id="rId95" Type="http://schemas.openxmlformats.org/officeDocument/2006/relationships/hyperlink" Target="https://www.commercialrealestate.com.au/news/how-this-duo-built-an-escape-room-business-from-scratch-1211242/" TargetMode="External"/><Relationship Id="rId96" Type="http://schemas.openxmlformats.org/officeDocument/2006/relationships/hyperlink" Target="https://themysteryrooms.com.au/escape-room-geelong/" TargetMode="External"/><Relationship Id="rId97" Type="http://schemas.openxmlformats.org/officeDocument/2006/relationships/hyperlink" Target="https://padlockd.com.au/rooms/" TargetMode="External"/><Relationship Id="rId98" Type="http://schemas.openxmlformats.org/officeDocument/2006/relationships/hyperlink" Target="https://puzzledroomescape.com.au/pricing/" TargetMode="External"/><Relationship Id="rId99" Type="http://schemas.openxmlformats.org/officeDocument/2006/relationships/hyperlink" Target="https://puzzledroomescape.com.au/student-programs/" TargetMode="External"/><Relationship Id="rId100" Type="http://schemas.openxmlformats.org/officeDocument/2006/relationships/hyperlink" Target="https://www.projectimmersive.com/events" TargetMode="External"/><Relationship Id="rId101" Type="http://schemas.openxmlformats.org/officeDocument/2006/relationships/hyperlink" Target="https://www.tra.gov.au/en/tourism-industry-analysis/state-and-regional-sta" TargetMode="External"/><Relationship Id="rId102" Type="http://schemas.openxmlformats.org/officeDocument/2006/relationships/hyperlink" Target="https://www.destinationnsw.com.au/destination-nsw-business-support/nsw-first-program/how-to-sell-online-via-distribution-partners" TargetMode="External"/><Relationship Id="rId103" Type="http://schemas.openxmlformats.org/officeDocument/2006/relationships/hyperlink" Target="https://www.aph.gov.au/Parliamentary_Business/Committees/House/Regional_Development_Infrastructure_and_Transport/LocalGovernmentFunding/Submissions" TargetMode="External"/><Relationship Id="rId104" Type="http://schemas.openxmlformats.org/officeDocument/2006/relationships/hyperlink" Target="https://www.australiancurriculum.edu.au/curriculum-information/understand-this-general-capability/personal-and-social-capability/" TargetMode="External"/><Relationship Id="rId105" Type="http://schemas.openxmlformats.org/officeDocument/2006/relationships/hyperlink" Target="https://www.qcaa.qld.edu.au/downloads/aciqv9/general-resources/ac9_gc_personal_social_capability_learning_continuum.pdf" TargetMode="External"/><Relationship Id="rId106" Type="http://schemas.openxmlformats.org/officeDocument/2006/relationships/hyperlink" Target="https://awards.fairwork.gov.au/MA000080.html" TargetMode="External"/><Relationship Id="rId107" Type="http://schemas.openxmlformats.org/officeDocument/2006/relationships/hyperlink" Target="https://smallbusiness.taxsuperandyou.gov.au/super-guarantee-employer-obligations/how-to-calculate-super-guarantee" TargetMode="External"/><Relationship Id="rId108" Type="http://schemas.openxmlformats.org/officeDocument/2006/relationships/hyperlink" Target="https://stripe.com/au/pricing" TargetMode="External"/><Relationship Id="rId109" Type="http://schemas.openxmlformats.org/officeDocument/2006/relationships/hyperlink" Target="https://dashgroup.net.au/labour-hire-brisbane" TargetMode="External"/><Relationship Id="rId110" Type="http://schemas.openxmlformats.org/officeDocument/2006/relationships/hyperlink" Target="https://www.voltoraindustries.com.au/" TargetMode="External"/><Relationship Id="rId111" Type="http://schemas.openxmlformats.org/officeDocument/2006/relationships/hyperlink" Target="https://www.storedj.com.au/products/rode-wireless-pro-dual-compact-wireless-mic-system-w-accessories-black" TargetMode="External"/><Relationship Id="rId112" Type="http://schemas.openxmlformats.org/officeDocument/2006/relationships/hyperlink" Target="https://help.rode.com/hc/en-us/articles/9220351205135-Can-I-use-multiple-Wireless-PRO-kits-at-a-single-location" TargetMode="External"/><Relationship Id="rId113" Type="http://schemas.openxmlformats.org/officeDocument/2006/relationships/hyperlink" Target="https://www.bettermusic.com.au/products/zoom-l8-livetrak" TargetMode="External"/><Relationship Id="rId114" Type="http://schemas.openxmlformats.org/officeDocument/2006/relationships/hyperlink" Target="https://www.storedj.com.au/products/hosa-cmp-159-3-5mm-trs-to-dual-1-4-ts-stereo-breakout-cable-10ft" TargetMode="External"/><Relationship Id="rId115" Type="http://schemas.openxmlformats.org/officeDocument/2006/relationships/hyperlink" Target="https://www.officeworks.com.au/shop/officeworks/p/matrix-visitor-chair-jbmatvmbk" TargetMode="External"/><Relationship Id="rId116" Type="http://schemas.openxmlformats.org/officeDocument/2006/relationships/hyperlink" Target="https://www.officeworks.com.au/shop/officeworks/p/matrix-mesh-visitor-armchair-black-jbmatvmabk" TargetMode="External"/><Relationship Id="rId117" Type="http://schemas.openxmlformats.org/officeDocument/2006/relationships/hyperlink" Target="https://dannysdesks.com.au/product/chibel-office-chair-ex-hire-stock/" TargetMode="External"/><Relationship Id="rId118" Type="http://schemas.openxmlformats.org/officeDocument/2006/relationships/hyperlink" Target="https://www.officeworks.com.au/shop/officeworks/p/rapidline-steel-frame-table-1800-x-900mm-white-fnsft1890w" TargetMode="External"/><Relationship Id="rId119" Type="http://schemas.openxmlformats.org/officeDocument/2006/relationships/hyperlink" Target="https://www.macks.com.au/collections/second-hand-furniture" TargetMode="External"/><Relationship Id="rId120" Type="http://schemas.openxmlformats.org/officeDocument/2006/relationships/hyperlink" Target="https://www.macks.com.au/collections/second-hand-furniture/products/secondhand-metal-frame-desk-1600-x-800" TargetMode="External"/><Relationship Id="rId121" Type="http://schemas.openxmlformats.org/officeDocument/2006/relationships/hyperlink" Target="https://www.macks.com.au/collections/second-hand-furniture/products/second-hand-cupboard-1600h-x-900w-x-430d" TargetMode="External"/><Relationship Id="rId122" Type="http://schemas.openxmlformats.org/officeDocument/2006/relationships/hyperlink" Target="https://www.australiancomputertraders.com.au/" TargetMode="External"/><Relationship Id="rId123" Type="http://schemas.openxmlformats.org/officeDocument/2006/relationships/hyperlink" Target="https://www.scorptec.com.au/product/ups/ups/67645-cp900epfclcda" TargetMode="External"/><Relationship Id="rId124" Type="http://schemas.openxmlformats.org/officeDocument/2006/relationships/hyperlink" Target="https://www.commercialrealestate.com.au/property/338-lytton-road-morningside-qld-4170-18288980" TargetMode="External"/><Relationship Id="rId125" Type="http://schemas.openxmlformats.org/officeDocument/2006/relationships/hyperlink" Target="https://www.commercialrealestate.com.au/property/4-65-riverside-place-morningside-qld-4170-18314217" TargetMode="External"/><Relationship Id="rId126" Type="http://schemas.openxmlformats.org/officeDocument/2006/relationships/hyperlink" Target="https://allianceelectrical.com.au/rates" TargetMode="External"/><Relationship Id="rId127" Type="http://schemas.openxmlformats.org/officeDocument/2006/relationships/hyperlink" Target="https://developers.openai.com/api/docs/pricing" TargetMode="External"/><Relationship Id="rId128" Type="http://schemas.openxmlformats.org/officeDocument/2006/relationships/hyperlink" Target="https://developers.openai.com/api/docs/guides/transcription" TargetMode="External"/><Relationship Id="rId129" Type="http://schemas.openxmlformats.org/officeDocument/2006/relationships/hyperlink" Target="https://help.openai.com/en/articles/10421635-multicurrency-billing" TargetMode="External"/><Relationship Id="rId130" Type="http://schemas.openxmlformats.org/officeDocument/2006/relationships/hyperlink" Target="https://deepgram.com/pricing" TargetMode="External"/><Relationship Id="rId131" Type="http://schemas.openxmlformats.org/officeDocument/2006/relationships/hyperlink" Target="https://softwaredevelopers.ato.gov.au/PaydaySuper" TargetMode="External"/><Relationship Id="rId132" Type="http://schemas.openxmlformats.org/officeDocument/2006/relationships/hyperlink" Target="https://github.com/auraofintelligence/escape-room-team-buil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Escape Room Team Building</dc:title>
  <dc:subject>Australian escape-room network business plan</dc:subject>
  <dc:creator>Luke Nathan Hayes</dc:creator>
  <cp:keywords>escape rooms, team building, tourism, whole-of-life learning, Australia</cp:keywords>
  <dc:description/>
  <cp:lastModifiedBy/>
  <cp:revision>1</cp:revision>
  <dcterms:created xsi:type="dcterms:W3CDTF">2013-12-23T23:15:00Z</dcterms:created>
  <dcterms:modified xsi:type="dcterms:W3CDTF">2013-12-23T23:15:00Z</dcterms:modified>
  <cp:category/>
</cp:coreProperties>
</file>