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INSTALLING THE</w:t>
        <w:br/>
        <w:t>MISSING MIDDLE</w:t>
      </w:r>
    </w:p>
    <w:p>
      <w:pPr>
        <w:pStyle w:val="Subtitle"/>
      </w:pPr>
      <w:r>
        <w:t>Community compute. Useful heat. Local ownership.</w:t>
      </w:r>
    </w:p>
    <w:p>
      <w:r>
        <w:t>A business plan for a federation of people and corporate vehicles.</w:t>
      </w:r>
    </w:p>
    <w:p>
      <w:r>
        <w:drawing>
          <wp:inline xmlns:a="http://schemas.openxmlformats.org/drawingml/2006/main" xmlns:pic="http://schemas.openxmlformats.org/drawingml/2006/picture">
            <wp:extent cx="6080760" cy="3036952"/>
            <wp:docPr id="1" name="Picture 1"/>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080760" cy="3036952"/>
                    </a:xfrm>
                    <a:prstGeom prst="rect"/>
                  </pic:spPr>
                </pic:pic>
              </a:graphicData>
            </a:graphic>
          </wp:inline>
        </w:drawing>
      </w:r>
    </w:p>
    <w:p>
      <w:r>
        <w:rPr>
          <w:sz w:val="18"/>
        </w:rPr>
        <w:t>Concept artwork from the Ready SET Co-op Cultural Intelligence Node.</w:t>
      </w:r>
    </w:p>
    <w:p>
      <w:r>
        <w:t>Prepared by Luke Nathan Hayes</w:t>
        <w:br/>
        <w:t>For joint development with Megan and Brad</w:t>
        <w:br/>
        <w:t>29 October 2026</w:t>
      </w:r>
    </w:p>
    <w:p>
      <w:pPr>
        <w:pStyle w:val="Heading2"/>
      </w:pPr>
      <w:r>
        <w:t>The national starting point</w:t>
      </w:r>
    </w:p>
    <w:p>
      <w:r>
        <w:t>30 million people · One single-rack node per 10,000 people · 3,000-node planning baseline</w:t>
      </w:r>
    </w:p>
    <w:p>
      <w:r>
        <w:t>The installation business connects practical delivery, useful heat, workforce development and ongoing upgrades with a financed pathway into local co-operative ownership.</w:t>
      </w:r>
    </w:p>
    <w:p>
      <w:hyperlink r:id="rId12">
        <w:r>
          <w:rPr>
            <w:color w:val="285B62"/>
          </w:rPr>
          <w:t>Presentation and complete source library</w:t>
        </w:r>
      </w:hyperlink>
    </w:p>
    <w:p>
      <w:r>
        <w:t>Original material: Strange But True Public Source Licence. Third-party material retains its own rights.</w:t>
      </w:r>
    </w:p>
    <w:p>
      <w:pPr>
        <w:pStyle w:val="Heading1"/>
        <w:pageBreakBefore/>
      </w:pPr>
      <w:r>
        <w:t>Inside the plan</w:t>
      </w:r>
    </w:p>
    <w:p>
      <w:r>
        <w:t>01  Installing the Missing Middle</w:t>
      </w:r>
    </w:p>
    <w:p>
      <w:r>
        <w:t>02  People and organisations, working as a federation</w:t>
      </w:r>
    </w:p>
    <w:p>
      <w:r>
        <w:t>03  Invite the whole country. Build where the pieces meet.</w:t>
      </w:r>
    </w:p>
    <w:p>
      <w:r>
        <w:t>04  A complete installation, not a box delivered to a building</w:t>
      </w:r>
    </w:p>
    <w:p>
      <w:r>
        <w:t>05  Each installation builds the next workforce</w:t>
      </w:r>
    </w:p>
    <w:p>
      <w:r>
        <w:t>06  A shared infrastructure for many useful lives</w:t>
      </w:r>
    </w:p>
    <w:p>
      <w:r>
        <w:t>07  Finance that builds local ownership</w:t>
      </w:r>
    </w:p>
    <w:p>
      <w:r>
        <w:t>08  Build the numbers around the delivery model</w:t>
      </w:r>
    </w:p>
    <w:p>
      <w:r>
        <w:t>09  Build for the next useful generation</w:t>
      </w:r>
    </w:p>
    <w:p>
      <w:r>
        <w:t>10  Use the rules. Improve the rules. Preserve the purpose.</w:t>
      </w:r>
    </w:p>
    <w:p>
      <w:r>
        <w:t>11  Three substantial components, developed together</w:t>
      </w:r>
    </w:p>
    <w:p>
      <w:r>
        <w:t>12  Turn the shared direction into an executable programme</w:t>
      </w:r>
    </w:p>
    <w:p>
      <w:r>
        <w:t>The complete source library follows the plan: all 14 original-upload records, all supplied project links, component handovers and the established licence.</w:t>
      </w:r>
    </w:p>
    <w:p>
      <w:pPr>
        <w:pStyle w:val="Heading1"/>
        <w:pageBreakBefore/>
      </w:pPr>
      <w:r>
        <w:t>01  Installing the Missing Middle</w:t>
      </w:r>
    </w:p>
    <w:p>
      <w:pPr>
        <w:pStyle w:val="Subtitle"/>
      </w:pPr>
      <w:r>
        <w:t>Community compute. Useful heat. Local ownership.</w:t>
      </w:r>
    </w:p>
    <w:p>
      <w:pPr>
        <w:pStyle w:val="Heading2"/>
      </w:pPr>
      <w:r>
        <w:t>An invitation to build together</w:t>
      </w:r>
    </w:p>
    <w:p>
      <w:r>
        <w:t>Megan and Brad, I want to bring our capabilities together to build a national installation business within a federation of people and corporate vehicles. The business installs frontier-class compute where communities can use it, connects useful heat to suitable facilities, and creates a financed pathway into local co-operative ownership.</w:t>
      </w:r>
    </w:p>
    <w:p>
      <w:pPr>
        <w:pStyle w:val="Heading2"/>
      </w:pPr>
      <w:r>
        <w:t>A national scale with local beginnings</w:t>
      </w:r>
    </w:p>
    <w:p>
      <w:r>
        <w:t>Our planning basis is a future Australian population of 30 million, with one single-rack node per 10,000 people: 3,000 nodes. We invite participation across every postcode at once, then focus installation resources where local responses bring together members, customers, facilities, people and finance. The national invitation is simultaneous; physical deployment follows the opportunities that develop.</w:t>
      </w:r>
    </w:p>
    <w:p>
      <w:pPr>
        <w:pStyle w:val="Heading2"/>
      </w:pPr>
      <w:r>
        <w:t>The installation business</w:t>
      </w:r>
    </w:p>
    <w:p>
      <w:r>
        <w:t>The commercial focus is site development, procurement, electrical and mechanical integration, UPS, heat recovery, commissioning, workforce learning, handover, maintenance and generational upgrades. A growing federation develops the applications and services running on that infrastructure. These are connected businesses and programmes, not departments of one compulsory parent company.</w:t>
      </w:r>
    </w:p>
    <w:p>
      <w:pPr>
        <w:pStyle w:val="Heading2"/>
      </w:pPr>
      <w:r>
        <w:t>More capability, held closer to people</w:t>
      </w:r>
    </w:p>
    <w:p>
      <w:r>
        <w:t>Hospitals, schools with pools, aquatic centres, wellbeing hubs and aged-care or longevity hubs create places to combine useful computing with useful heat. Personal Auras, council and electorate simulations, education, care, tourism, creative work and science give that infrastructure a wider purpose. Communities can also bring their own applications and connect the AI tools they choose.</w:t>
      </w:r>
    </w:p>
    <w:p>
      <w:pPr>
        <w:pStyle w:val="Heading2"/>
      </w:pPr>
      <w:r>
        <w:t>A return with an end point</w:t>
      </w:r>
    </w:p>
    <w:p>
      <w:r>
        <w:t>Government support, venture and other investment, member capital and co-operative acquisitions accelerate deployment. The investment arrangement provides an agreed finite return and an exit, rather than a perpetual claim over community income. As co-operatives buy in and take ownership, capital becomes available for further installations. Renewal funding keeps the asset useful through changing hardware generations.</w:t>
      </w:r>
    </w:p>
    <w:p>
      <w:r>
        <w:t xml:space="preserve">Sources: </w:t>
      </w:r>
      <w:hyperlink r:id="rId13">
        <w:r>
          <w:rPr>
            <w:color w:val="285B62"/>
          </w:rPr>
          <w:t>D01</w:t>
        </w:r>
      </w:hyperlink>
      <w:r>
        <w:t xml:space="preserve"> · </w:t>
      </w:r>
      <w:hyperlink r:id="rId14">
        <w:r>
          <w:rPr>
            <w:color w:val="285B62"/>
          </w:rPr>
          <w:t>D09</w:t>
        </w:r>
      </w:hyperlink>
      <w:r>
        <w:t xml:space="preserve"> · </w:t>
      </w:r>
      <w:hyperlink r:id="rId15">
        <w:r>
          <w:rPr>
            <w:color w:val="285B62"/>
          </w:rPr>
          <w:t>P01</w:t>
        </w:r>
      </w:hyperlink>
      <w:r>
        <w:t xml:space="preserve"> · </w:t>
      </w:r>
      <w:hyperlink r:id="rId16">
        <w:r>
          <w:rPr>
            <w:color w:val="285B62"/>
          </w:rPr>
          <w:t>P02</w:t>
        </w:r>
      </w:hyperlink>
    </w:p>
    <w:p>
      <w:pPr>
        <w:pStyle w:val="Heading1"/>
        <w:pageBreakBefore/>
      </w:pPr>
      <w:r>
        <w:t>02  People and organisations, working as a federation</w:t>
      </w:r>
    </w:p>
    <w:p>
      <w:pPr>
        <w:pStyle w:val="Subtitle"/>
      </w:pPr>
      <w:r>
        <w:t>A shared direction does not require everyone to become the same organisation.</w:t>
      </w:r>
    </w:p>
    <w:p>
      <w:pPr>
        <w:pStyle w:val="Heading2"/>
      </w:pPr>
      <w:r>
        <w:t>Brad: the core delivery team</w:t>
      </w:r>
    </w:p>
    <w:p>
      <w:r>
        <w:t>Brad coordinates data-centre UPS installers and knows the industry from single-rack installations through to the latest public and private facilities. His industry relationships and contacts are central to assembling the core delivery team. The proposal places that capability at the centre of delivery: building the team, bringing in the appropriate suppliers and specialists, and shaping an installation operation that can scale.</w:t>
      </w:r>
    </w:p>
    <w:p>
      <w:pPr>
        <w:pStyle w:val="Heading2"/>
      </w:pPr>
      <w:r>
        <w:t>Megan: institutions and commercial arrangements</w:t>
      </w:r>
    </w:p>
    <w:p>
      <w:r>
        <w:t>Megan brings hospital contract-management experience, an understanding of contract law and a substantial professional network, including her previous HIMAA position. Her contribution is to shape institutional relationships and the arrangements that connect hosts, customers, contractors, operators, funders and co-operative purchasers.</w:t>
      </w:r>
    </w:p>
    <w:p>
      <w:pPr>
        <w:pStyle w:val="Heading2"/>
      </w:pPr>
      <w:r>
        <w:t>Luke: the integrated architecture and development programmes</w:t>
      </w:r>
    </w:p>
    <w:p>
      <w:r>
        <w:t>I bring Aura of Intelligence, the application and progression plans, the national community-development approach and the links between personal Auras, civic twins, co-operatives, wellbeing, education, tourism and scientific work. I will expand the relevant components as the federation develops, maintaining the connection between the technology and the lives it is intended to support.</w:t>
      </w:r>
    </w:p>
    <w:p>
      <w:pPr>
        <w:pStyle w:val="Heading2"/>
      </w:pPr>
      <w:r>
        <w:t>Distinct vehicles, agreed responsibilities</w:t>
      </w:r>
    </w:p>
    <w:p>
      <w:r>
        <w:t>The federation can include co-operatives, existing businesses, project companies, professional practices, institutional hosts, research organisations and financing vehicles. A landholder, a hospital operator, a rack owner, a compute-service provider and a heat user may be different participants. Agreements connect their responsibilities without requiring them to merge.</w:t>
      </w:r>
    </w:p>
    <w:p>
      <w:pPr>
        <w:pStyle w:val="Heading2"/>
      </w:pPr>
      <w:r>
        <w:t>Ownership and participation</w:t>
      </w:r>
    </w:p>
    <w:p>
      <w:r>
        <w:t>Ready SET Co-op is the repeatable pattern for sustainable employment and training, shared equipment and local ownership. Mutual Futures contributes business succession and knowledge transfer; 500 Queens contributes women-led enterprise, leadership and investment development. People retain ownership of their personal Auras and data. A co-operative owns its agreed assets, not its members’ private lives.</w:t>
      </w:r>
    </w:p>
    <w:p>
      <w:r>
        <w:t xml:space="preserve">Sources: </w:t>
      </w:r>
      <w:hyperlink r:id="rId16">
        <w:r>
          <w:rPr>
            <w:color w:val="285B62"/>
          </w:rPr>
          <w:t>P02</w:t>
        </w:r>
      </w:hyperlink>
      <w:r>
        <w:t xml:space="preserve"> · </w:t>
      </w:r>
      <w:hyperlink r:id="rId17">
        <w:r>
          <w:rPr>
            <w:color w:val="285B62"/>
          </w:rPr>
          <w:t>P03</w:t>
        </w:r>
      </w:hyperlink>
      <w:r>
        <w:t xml:space="preserve"> · </w:t>
      </w:r>
      <w:hyperlink r:id="rId18">
        <w:r>
          <w:rPr>
            <w:color w:val="285B62"/>
          </w:rPr>
          <w:t>P04</w:t>
        </w:r>
      </w:hyperlink>
      <w:r>
        <w:t xml:space="preserve"> · </w:t>
      </w:r>
      <w:hyperlink r:id="rId19">
        <w:r>
          <w:rPr>
            <w:color w:val="285B62"/>
          </w:rPr>
          <w:t>P05</w:t>
        </w:r>
      </w:hyperlink>
    </w:p>
    <w:p>
      <w:pPr>
        <w:pStyle w:val="Heading1"/>
        <w:pageBreakBefore/>
      </w:pPr>
      <w:r>
        <w:t>03  Invite the whole country. Build where the pieces meet.</w:t>
      </w:r>
    </w:p>
    <w:p>
      <w:pPr>
        <w:pStyle w:val="Subtitle"/>
      </w:pPr>
      <w:r>
        <w:t>One geographic opportunity register connects national outreach with local installation decisions.</w:t>
      </w:r>
    </w:p>
    <w:p>
      <w:pPr>
        <w:pStyle w:val="Heading2"/>
      </w:pPr>
      <w:r>
        <w:t>Every postcode is in the invitation</w:t>
      </w:r>
    </w:p>
    <w:p>
      <w:r>
        <w:t>The outreach algorithm works across all postcodes in parallel through Ready SET Co-op, seeking members, business owners, technical people, training partners and organisations interested in shared infrastructure. An expression of interest starts a conversation; people do not need a completed engineering study or an investment commitment to participate in developing the opportunity.</w:t>
      </w:r>
    </w:p>
    <w:p>
      <w:pPr>
        <w:pStyle w:val="Heading2"/>
      </w:pPr>
      <w:r>
        <w:t>Civic twins at several scales</w:t>
      </w:r>
    </w:p>
    <w:p>
      <w:r>
        <w:t>P4A approaches councils and council divisions, state electorates and federal electorates around their digital twins and simulation models. These are overlapping views of places, infrastructure, services and community choices. A single facility can belong to several geographic views while remaining one physical asset in the installation register.</w:t>
      </w:r>
    </w:p>
    <w:p>
      <w:pPr>
        <w:pStyle w:val="Heading2"/>
      </w:pPr>
      <w:r>
        <w:t>Connect facilities with local purpose</w:t>
      </w:r>
    </w:p>
    <w:p>
      <w:r>
        <w:t>The register identifies schools, hospitals, pools, wellbeing facilities and proposed new aged-care or longevity hubs within those regions. It records the actual property owner, operator and decision-making contacts alongside prospective compute users and heat demand. An institution with several facilities can contribute a multi-site programme, with local conditions retained for each installation.</w:t>
      </w:r>
    </w:p>
    <w:p>
      <w:pPr>
        <w:pStyle w:val="Heading2"/>
      </w:pPr>
      <w:r>
        <w:t>Combine responses rather than rank buildings alone</w:t>
      </w:r>
    </w:p>
    <w:p>
      <w:r>
        <w:t>An interested pool, a care provider, a council simulation project and local businesses may each contribute part of one installation case. The discovery process connects those complementary responses. It distinguishes an introduction, an expression of interest, an assessed project and a contracted customer, so the forecast follows the work that has actually progressed.</w:t>
      </w:r>
    </w:p>
    <w:p>
      <w:pPr>
        <w:pStyle w:val="Heading2"/>
      </w:pPr>
      <w:r>
        <w:t>Keep a development route open</w:t>
      </w:r>
    </w:p>
    <w:p>
      <w:r>
        <w:t>Installation-ready opportunities progress into detailed design and contracting. Other communities remain in a development queue with their next useful step identified: a host, power capacity, organising support, workforce, workload commitments or finance. Public-benefit support can be directed towards those missing elements. The first cohort emerges from the national response rather than a fixed allocation announced in advance.</w:t>
      </w:r>
    </w:p>
    <w:p>
      <w:r>
        <w:t xml:space="preserve">Sources: </w:t>
      </w:r>
      <w:hyperlink r:id="rId13">
        <w:r>
          <w:rPr>
            <w:color w:val="285B62"/>
          </w:rPr>
          <w:t>D01</w:t>
        </w:r>
      </w:hyperlink>
      <w:r>
        <w:t xml:space="preserve"> · </w:t>
      </w:r>
      <w:hyperlink r:id="rId20">
        <w:r>
          <w:rPr>
            <w:color w:val="285B62"/>
          </w:rPr>
          <w:t>D11</w:t>
        </w:r>
      </w:hyperlink>
      <w:r>
        <w:t xml:space="preserve"> · </w:t>
      </w:r>
      <w:hyperlink r:id="rId16">
        <w:r>
          <w:rPr>
            <w:color w:val="285B62"/>
          </w:rPr>
          <w:t>P02</w:t>
        </w:r>
      </w:hyperlink>
      <w:r>
        <w:t xml:space="preserve"> · </w:t>
      </w:r>
      <w:hyperlink r:id="rId21">
        <w:r>
          <w:rPr>
            <w:color w:val="285B62"/>
          </w:rPr>
          <w:t>P10</w:t>
        </w:r>
      </w:hyperlink>
    </w:p>
    <w:p>
      <w:pPr>
        <w:pStyle w:val="Heading1"/>
        <w:pageBreakBefore/>
      </w:pPr>
      <w:r>
        <w:t>04  A complete installation, not a box delivered to a building</w:t>
      </w:r>
    </w:p>
    <w:p>
      <w:pPr>
        <w:pStyle w:val="Subtitle"/>
      </w:pPr>
      <w:r>
        <w:t>Brad’s team turns each site and workload brief into an engineered, commissioned and maintainable node.</w:t>
      </w:r>
    </w:p>
    <w:p>
      <w:pPr>
        <w:pStyle w:val="Heading2"/>
      </w:pPr>
      <w:r>
        <w:t>The installation package</w:t>
      </w:r>
    </w:p>
    <w:p>
      <w:r>
        <w:t>The repeatable package covers the rack and supporting compute, storage and networking; electrical supply and distribution; UPS and its protected loads; liquid cooling and heat exchange; the secure equipment space; access and handling; monitoring; service documentation; commissioning; and local handover. Site-specific works remain visible instead of being hidden inside a single equipment price.</w:t>
      </w:r>
    </w:p>
    <w:p>
      <w:pPr>
        <w:pStyle w:val="Heading2"/>
      </w:pPr>
      <w:r>
        <w:t>Design heat recovery around a real use</w:t>
      </w:r>
    </w:p>
    <w:p>
      <w:r>
        <w:t>Assess the host’s water-heating needs, operating hours, temperature requirements and seasonal pattern. Separate the computing coolant circuit from the building-water system through the appropriate engineered interfaces. Meter useful heat actually delivered and the energy used to deliver it. Where a heat pump, buffer storage or additional plant is appropriate, include its costs and performance in the site design.</w:t>
      </w:r>
    </w:p>
    <w:p>
      <w:pPr>
        <w:pStyle w:val="Heading2"/>
      </w:pPr>
      <w:r>
        <w:t>Computing and heat have independent continuity needs</w:t>
      </w:r>
    </w:p>
    <w:p>
      <w:r>
        <w:t>The host’s hot-water service needs a defined response when the rack is unavailable, and the rack needs cooling when the host cannot accept its heat. The installation design therefore includes the necessary alternative cooling and heating arrangements. Recovered heat is a useful co-product of computing, not a reason to make either service depend on an unsuitable operating condition.</w:t>
      </w:r>
    </w:p>
    <w:p>
      <w:pPr>
        <w:pStyle w:val="Heading2"/>
      </w:pPr>
      <w:r>
        <w:t>UPS as part of the whole system</w:t>
      </w:r>
    </w:p>
    <w:p>
      <w:r>
        <w:t>Brad’s delivery team defines the loads to protect, runtime, controls, bypass and maintenance arrangements, and the connection to any longer-duration backup. Essential local services can have a different continuity requirement from a full rack running its most demanding workload. Pumps, controls, networking and monitoring belong in that assessment alongside the processors.</w:t>
      </w:r>
    </w:p>
    <w:p>
      <w:pPr>
        <w:pStyle w:val="Heading2"/>
      </w:pPr>
      <w:r>
        <w:t>Commission and hand over the working system</w:t>
      </w:r>
    </w:p>
    <w:p>
      <w:r>
        <w:t>The acceptance package demonstrates the agreed power, cooling, heat transfer, networking, monitoring and recovery behaviour. It includes asset identifiers, warranties, measured results, operating instructions, training records, maintenance arrangements and a usable digital twin of the installed environment. The co-operative receives an asset it understands how to operate and maintain.</w:t>
      </w:r>
    </w:p>
    <w:p>
      <w:r>
        <w:t xml:space="preserve">Sources: </w:t>
      </w:r>
      <w:hyperlink r:id="rId14">
        <w:r>
          <w:rPr>
            <w:color w:val="285B62"/>
          </w:rPr>
          <w:t>D09</w:t>
        </w:r>
      </w:hyperlink>
      <w:r>
        <w:t xml:space="preserve"> · </w:t>
      </w:r>
      <w:hyperlink r:id="rId22">
        <w:r>
          <w:rPr>
            <w:color w:val="285B62"/>
          </w:rPr>
          <w:t>D05</w:t>
        </w:r>
      </w:hyperlink>
      <w:r>
        <w:t xml:space="preserve"> · </w:t>
      </w:r>
      <w:hyperlink r:id="rId16">
        <w:r>
          <w:rPr>
            <w:color w:val="285B62"/>
          </w:rPr>
          <w:t>P02</w:t>
        </w:r>
      </w:hyperlink>
    </w:p>
    <w:p>
      <w:pPr>
        <w:pStyle w:val="Heading1"/>
        <w:pageBreakBefore/>
      </w:pPr>
      <w:r>
        <w:t>05  Each installation builds the next workforce</w:t>
      </w:r>
    </w:p>
    <w:p>
      <w:pPr>
        <w:pStyle w:val="Subtitle"/>
      </w:pPr>
      <w:r>
        <w:t>Capture skilled work once, then turn it into usable learning for the next crew.</w:t>
      </w:r>
    </w:p>
    <w:p>
      <w:pPr>
        <w:pStyle w:val="Heading2"/>
      </w:pPr>
      <w:r>
        <w:t>Capture the environment and the work</w:t>
      </w:r>
    </w:p>
    <w:p>
      <w:r>
        <w:t>Use 360-degree capture and suitable wearable XR glasses to record the installation environment, selected work sequences, explanations and commissioning. Luke’s initial brief names Exo glasses; the exact product and site configuration will be confirmed within the equipment package. Capture combines spatial context with the practical knowledge held by electricians, plumbers, cooling specialists, network technicians and experienced coordinators.</w:t>
      </w:r>
    </w:p>
    <w:p>
      <w:pPr>
        <w:pStyle w:val="Heading2"/>
      </w:pPr>
      <w:r>
        <w:t>From recording to just-in-time learning</w:t>
      </w:r>
    </w:p>
    <w:p>
      <w:r>
        <w:t>Associate recordings with the equipment, drawings, procedures, task conditions and results they explain. Skilled people identify which parts teach a general method and which are specific to that site. Turn the useful material into short lessons, simulated rehearsals and guidance available at the moment a worker needs it. Records of faults and corrections are as valuable as the successful installation sequence.</w:t>
      </w:r>
    </w:p>
    <w:p>
      <w:pPr>
        <w:pStyle w:val="Heading2"/>
      </w:pPr>
      <w:r>
        <w:t>Keep learning connected to demonstrated work</w:t>
      </w:r>
    </w:p>
    <w:p>
      <w:r>
        <w:t>A learner’s record shows what they observed, rehearsed and carried out, with the relevant supervisor and evidence. The training system supports qualified work and assessed competence. It does not award a trade qualification merely because a person watched a recording. Paid learning, specialist mentoring and the time required to produce good training material belong in the delivery budget.</w:t>
      </w:r>
    </w:p>
    <w:p>
      <w:pPr>
        <w:pStyle w:val="Heading2"/>
      </w:pPr>
      <w:r>
        <w:t>A curriculum already connected to infrastructure</w:t>
      </w:r>
    </w:p>
    <w:p>
      <w:r>
        <w:t>Aura Teacher Training Day 41 joins a chosen workload to a wellbeing-and-compute hub, its physical dependencies, an XR installation rehearsal, commissioning, handover and a fault scenario. Day 42 follows personal records through devices, hubs and other services while preserving permissions and continuity. Those connections provide a direct starting point for the delivery team and the Aura learning programme.</w:t>
      </w:r>
    </w:p>
    <w:p>
      <w:pPr>
        <w:pStyle w:val="Heading2"/>
      </w:pPr>
      <w:r>
        <w:t>Preserve industry knowledge through succession</w:t>
      </w:r>
    </w:p>
    <w:p>
      <w:r>
        <w:t>Mutual Futures adds a route for established trade and service businesses to join the federation through partnership or an agreed succession. Experienced owners and staff can pass on supplier relationships, quoting methods, uncommon faults and practical judgement through paid mentoring. The programme builds on the industry’s existing expertise rather than pretending software replaces it.</w:t>
      </w:r>
    </w:p>
    <w:p>
      <w:r>
        <w:t xml:space="preserve">Sources: </w:t>
      </w:r>
      <w:hyperlink r:id="rId22">
        <w:r>
          <w:rPr>
            <w:color w:val="285B62"/>
          </w:rPr>
          <w:t>D05</w:t>
        </w:r>
      </w:hyperlink>
      <w:r>
        <w:t xml:space="preserve"> · </w:t>
      </w:r>
      <w:hyperlink r:id="rId23">
        <w:r>
          <w:rPr>
            <w:color w:val="285B62"/>
          </w:rPr>
          <w:t>D13</w:t>
        </w:r>
      </w:hyperlink>
      <w:r>
        <w:t xml:space="preserve"> · </w:t>
      </w:r>
      <w:hyperlink r:id="rId19">
        <w:r>
          <w:rPr>
            <w:color w:val="285B62"/>
          </w:rPr>
          <w:t>P05</w:t>
        </w:r>
      </w:hyperlink>
    </w:p>
    <w:p>
      <w:pPr>
        <w:pStyle w:val="Heading1"/>
        <w:pageBreakBefore/>
      </w:pPr>
      <w:r>
        <w:t>06  A shared infrastructure for many useful lives</w:t>
      </w:r>
    </w:p>
    <w:p>
      <w:pPr>
        <w:pStyle w:val="Subtitle"/>
      </w:pPr>
      <w:r>
        <w:t>The uploaded programmes supply part of the workload base, not a closed catalogue of permitted uses.</w:t>
      </w:r>
    </w:p>
    <w:p>
      <w:pPr>
        <w:pStyle w:val="Heading2"/>
      </w:pPr>
      <w:r>
        <w:t>Personal Auras and chosen AI tools</w:t>
      </w:r>
    </w:p>
    <w:p>
      <w:r>
        <w:t>People develop their own personal Auras across devices and services, retaining their data, corrections and digital twins. Workloads include retrieval, personal-model development, inference, specialist agents, media processing, memory palaces and chosen device connections. Ordinary screens, voice, lists and maps remain available alongside XR. [D04, D05, D07]</w:t>
      </w:r>
    </w:p>
    <w:p>
      <w:pPr>
        <w:pStyle w:val="Heading2"/>
      </w:pPr>
      <w:r>
        <w:t>Care across a changing life</w:t>
      </w:r>
    </w:p>
    <w:p>
      <w:r>
        <w:t>Adaptive whole-of-life support connects younger-onset dementia, disability support, ageing, changes of home and changes of care provider. Meaningful media, spatial memory palaces, accessible interfaces and relevant personal context support the intended continuity. The personal Aura remains connected to the person’s wider life, not confined to one service category. [D06]</w:t>
      </w:r>
    </w:p>
    <w:p>
      <w:pPr>
        <w:pStyle w:val="Heading2"/>
      </w:pPr>
      <w:r>
        <w:t>Children, young people and education</w:t>
      </w:r>
    </w:p>
    <w:p>
      <w:r>
        <w:t>The children-and-teens proposal uses Verse Box and supported everyday learning: creative work, self-understanding, legal relevance, mentoring and a continuing record through moves and transitions. It connects into opportunities for adulthood and small school pilots. This is a distinct pathway from the adult hyperbaric programme. [D03]</w:t>
      </w:r>
    </w:p>
    <w:p>
      <w:pPr>
        <w:pStyle w:val="Heading2"/>
      </w:pPr>
      <w:r>
        <w:t>Tourism, culture and civic participation</w:t>
      </w:r>
    </w:p>
    <w:p>
      <w:r>
        <w:t>Tourism and domestic travel develop the qualified self through music, sport, culture, nature and real encounters. Workloads connect chosen observations, personal reflection, authorised place information, immersive media, operators and continuing learning. Volunteer development and the Brisbane 2032 horizon give the programme further settings for participation. [D07]</w:t>
      </w:r>
    </w:p>
    <w:p>
      <w:pPr>
        <w:pStyle w:val="Heading2"/>
      </w:pPr>
      <w:r>
        <w:t>Council and electorate simulations</w:t>
      </w:r>
    </w:p>
    <w:p>
      <w:r>
        <w:t>Local, state and federal geographic twins connect places, infrastructure, services and possible changes. Communities can examine scenarios, compare assumptions and investigate consequences before committing resources. Personal Aura records remain within their own permissions; participation in a place model does not transfer ownership of a person’s private archive. [D04, D11; current direction]</w:t>
      </w:r>
    </w:p>
    <w:p>
      <w:pPr>
        <w:pStyle w:val="Heading2"/>
      </w:pPr>
      <w:r>
        <w:t>Wellbeing, Genesis and scientific exploration</w:t>
      </w:r>
    </w:p>
    <w:p>
      <w:r>
        <w:t>Wellbeing and longevity hubs add personal-model development, session-media processing, instrument analysis, research and materials simulation. The Global Sensorium adds Earth and space modelling, sensor data, reproducible experiments and side-by-side comparison of established and unconventional hypotheses. Communities can develop their own models and questions rather than receiving a single imposed account. [D04, D14]</w:t>
      </w:r>
    </w:p>
    <w:p>
      <w:pPr>
        <w:pStyle w:val="Heading2"/>
      </w:pPr>
      <w:r>
        <w:t>Creative, business and community work</w:t>
      </w:r>
    </w:p>
    <w:p>
      <w:r>
        <w:t>Media production, local enterprise, technical design, language tools, environmental observation and community-selected applications sit alongside these programmes. Geode Development page 37 explicitly joins Ready SET, wellbeing hubs, community twins, media, instrument analysis and materials simulation. Each participating service supplies its workload and resource brief. [D04, p. 37]</w:t>
      </w:r>
    </w:p>
    <w:p>
      <w:r>
        <w:t xml:space="preserve">Sources: </w:t>
      </w:r>
      <w:hyperlink r:id="rId24">
        <w:r>
          <w:rPr>
            <w:color w:val="285B62"/>
          </w:rPr>
          <w:t>D03</w:t>
        </w:r>
      </w:hyperlink>
      <w:r>
        <w:t xml:space="preserve"> · </w:t>
      </w:r>
      <w:hyperlink r:id="rId25">
        <w:r>
          <w:rPr>
            <w:color w:val="285B62"/>
          </w:rPr>
          <w:t>D04</w:t>
        </w:r>
      </w:hyperlink>
      <w:r>
        <w:t xml:space="preserve"> · </w:t>
      </w:r>
      <w:hyperlink r:id="rId22">
        <w:r>
          <w:rPr>
            <w:color w:val="285B62"/>
          </w:rPr>
          <w:t>D05</w:t>
        </w:r>
      </w:hyperlink>
      <w:r>
        <w:t xml:space="preserve"> · </w:t>
      </w:r>
      <w:hyperlink r:id="rId26">
        <w:r>
          <w:rPr>
            <w:color w:val="285B62"/>
          </w:rPr>
          <w:t>D06</w:t>
        </w:r>
      </w:hyperlink>
      <w:r>
        <w:t xml:space="preserve"> · </w:t>
      </w:r>
      <w:hyperlink r:id="rId27">
        <w:r>
          <w:rPr>
            <w:color w:val="285B62"/>
          </w:rPr>
          <w:t>D07</w:t>
        </w:r>
      </w:hyperlink>
      <w:r>
        <w:t xml:space="preserve"> · </w:t>
      </w:r>
      <w:hyperlink r:id="rId28">
        <w:r>
          <w:rPr>
            <w:color w:val="285B62"/>
          </w:rPr>
          <w:t>D14</w:t>
        </w:r>
      </w:hyperlink>
    </w:p>
    <w:p>
      <w:pPr>
        <w:pStyle w:val="Heading1"/>
        <w:pageBreakBefore/>
      </w:pPr>
      <w:r>
        <w:t>07  Finance that builds local ownership</w:t>
      </w:r>
    </w:p>
    <w:p>
      <w:pPr>
        <w:pStyle w:val="Subtitle"/>
      </w:pPr>
      <w:r>
        <w:t>Capital accelerates installation; it does not purchase a permanent claim over the community.</w:t>
      </w:r>
    </w:p>
    <w:p>
      <w:pPr>
        <w:pStyle w:val="Heading2"/>
      </w:pPr>
      <w:r>
        <w:t>Several routes into the same deployment programme</w:t>
      </w:r>
    </w:p>
    <w:p>
      <w:r>
        <w:t>The financing model combines government and public-benefit funding, finite-return investment, co-operative member capital, institutional participation and co-operative acquisitions as they come online. 500 Queens is one proposed route into investment and enterprise development. Other suitable vehicles can participate on agreed terms; no single fund or company needs to own the whole federation.</w:t>
      </w:r>
    </w:p>
    <w:p>
      <w:pPr>
        <w:pStyle w:val="Heading2"/>
      </w:pPr>
      <w:r>
        <w:t>Separate the installer’s margin from the investor’s return</w:t>
      </w:r>
    </w:p>
    <w:p>
      <w:r>
        <w:t>The installation business earns an agreed margin for development and delivery. Investors receive the return defined in their financing agreement. Local operating entities earn income from services and meet their operating, maintenance and renewal costs. Keeping these accounts distinct makes the ownership transition and the economics of each participant understandable.</w:t>
      </w:r>
    </w:p>
    <w:p>
      <w:pPr>
        <w:pStyle w:val="Heading2"/>
      </w:pPr>
      <w:r>
        <w:t>An acquisition pathway with a defined end</w:t>
      </w:r>
    </w:p>
    <w:p>
      <w:r>
        <w:t>A financing vehicle can fund construction while a co-operative develops its membership and operating base. The co-operative may buy the commissioned asset, acquire it progressively or participate earlier with its own capital. Terms define the purchase basis, payments, investor return, exit and final ownership. A fixed annual rate and a capped total return are different choices: Megan’s financing work will make the selected structure explicit.</w:t>
      </w:r>
    </w:p>
    <w:p>
      <w:pPr>
        <w:pStyle w:val="Heading2"/>
      </w:pPr>
      <w:r>
        <w:t>Recycle deployment capital</w:t>
      </w:r>
    </w:p>
    <w:p>
      <w:r>
        <w:t>As acquisitions and repayments return capital, the deployment facility can finance further sites. The cash model follows the actual timing of supplier deposits, construction payments, commissioning, customer receipts and co-operative purchases. Government grants, loans, guarantees and service contracts are recorded according to what they actually provide; a guarantee is not treated as cash received.</w:t>
      </w:r>
    </w:p>
    <w:p>
      <w:pPr>
        <w:pStyle w:val="Heading2"/>
      </w:pPr>
      <w:r>
        <w:t>Public funding follows defined useful work</w:t>
      </w:r>
    </w:p>
    <w:p>
      <w:r>
        <w:t>Care continuity, accessible learning, tourism capability, civic simulation, scientific research, workforce development, regional access and useful heat create different public-purpose cases around the shared infrastructure. Participating organisations develop the relevant bids and service proposals. A shared cost record allocates funded assets and activities so the same cost is not claimed twice. These are funding workstreams to develop, not announcements of grants awarded.</w:t>
      </w:r>
    </w:p>
    <w:p>
      <w:pPr>
        <w:pStyle w:val="Heading2"/>
      </w:pPr>
      <w:r>
        <w:t>C-Hour remains separate from money</w:t>
      </w:r>
    </w:p>
    <w:p>
      <w:r>
        <w:t>C-Hour recognises verified voluntary human contribution and community-shaped reciprocity. It has no monetary equivalent, cash-out value or automatic conversion into equipment ownership. Paid work, investment returns, member interests and operating expenses have their own financial arrangements. Older archive wording is retained in originals but does not override this current direction.</w:t>
      </w:r>
    </w:p>
    <w:p>
      <w:r>
        <w:t xml:space="preserve">Sources: </w:t>
      </w:r>
      <w:hyperlink r:id="rId13">
        <w:r>
          <w:rPr>
            <w:color w:val="285B62"/>
          </w:rPr>
          <w:t>D01</w:t>
        </w:r>
      </w:hyperlink>
      <w:r>
        <w:t xml:space="preserve"> · </w:t>
      </w:r>
      <w:hyperlink r:id="rId27">
        <w:r>
          <w:rPr>
            <w:color w:val="285B62"/>
          </w:rPr>
          <w:t>D07</w:t>
        </w:r>
      </w:hyperlink>
      <w:r>
        <w:t xml:space="preserve"> · </w:t>
      </w:r>
      <w:hyperlink r:id="rId29">
        <w:r>
          <w:rPr>
            <w:color w:val="285B62"/>
          </w:rPr>
          <w:t>D10</w:t>
        </w:r>
      </w:hyperlink>
      <w:r>
        <w:t xml:space="preserve"> · </w:t>
      </w:r>
      <w:hyperlink r:id="rId18">
        <w:r>
          <w:rPr>
            <w:color w:val="285B62"/>
          </w:rPr>
          <w:t>P04</w:t>
        </w:r>
      </w:hyperlink>
      <w:r>
        <w:t xml:space="preserve"> · </w:t>
      </w:r>
      <w:hyperlink r:id="rId19">
        <w:r>
          <w:rPr>
            <w:color w:val="285B62"/>
          </w:rPr>
          <w:t>P05</w:t>
        </w:r>
      </w:hyperlink>
      <w:r>
        <w:t xml:space="preserve"> · </w:t>
      </w:r>
      <w:hyperlink r:id="rId30">
        <w:r>
          <w:rPr>
            <w:color w:val="285B62"/>
          </w:rPr>
          <w:t>P09</w:t>
        </w:r>
      </w:hyperlink>
    </w:p>
    <w:p>
      <w:pPr>
        <w:pStyle w:val="Heading1"/>
        <w:pageBreakBefore/>
      </w:pPr>
      <w:r>
        <w:t>08  Build the numbers around the delivery model</w:t>
      </w:r>
    </w:p>
    <w:p>
      <w:pPr>
        <w:pStyle w:val="Subtitle"/>
      </w:pPr>
      <w:r>
        <w:t>A transparent starting scenario, ready for Brad’s costs and Megan’s commercial work.</w:t>
      </w:r>
    </w:p>
    <w:p>
      <w:pPr>
        <w:pStyle w:val="Heading2"/>
      </w:pPr>
      <w:r>
        <w:t>The scale calculation</w:t>
      </w:r>
    </w:p>
    <w:p>
      <w:r>
        <w:t>30,000,000 people divided by 10,000 people per node gives 3,000 single-rack nodes. Carrying forward the earlier A$6 million all-in site allowance gives A$18 billion for the initial national installation scenario. The source allowance includes integration and contingency; it is a planning basis, not a current supplier quote or a claim that every site costs the same. [D09]</w:t>
      </w:r>
    </w:p>
    <w:p>
      <w:pPr>
        <w:pStyle w:val="Heading2"/>
      </w:pPr>
      <w:r>
        <w:t>Price the site, not only the processors</w:t>
      </w:r>
    </w:p>
    <w:p>
      <w:r>
        <w:t>Break capital into compute and storage, networking, electrical works and UPS, cooling and heat recovery, secure space and site works, freight, installation labour, commissioning, capture and training, project development and contingency. An existing plant room and a new wellbeing hub can have very different site costs. Brad’s archetypes should make that difference visible.</w:t>
      </w:r>
    </w:p>
    <w:p>
      <w:pPr>
        <w:pStyle w:val="Heading2"/>
      </w:pPr>
      <w:r>
        <w:t>Define the income and the payer</w:t>
      </w:r>
    </w:p>
    <w:p>
      <w:r>
        <w:t>Potential income includes installation and upgrade contracts, compute services, application and support services, maintenance and training. The host may receive a heat saving, pay for metered useful heat, or agree another commercial arrangement. Record which entity receives each benefit: a saving to a pool operator is not automatically cash available to repay the rack-owning co-operative.</w:t>
      </w:r>
    </w:p>
    <w:p>
      <w:pPr>
        <w:pStyle w:val="Heading2"/>
      </w:pPr>
      <w:r>
        <w:t>Cost the continuing service</w:t>
      </w:r>
    </w:p>
    <w:p>
      <w:r>
        <w:t>The operating model includes electricity and network charges, connectivity, software and support, staff and monitoring, maintenance, insurance, premises arrangements, cooling auxiliaries, financial commitments and reserves. Separate demand forecasts from contracts. Identify workloads that can be scheduled flexibly and services that require a different level of continuity.</w:t>
      </w:r>
    </w:p>
    <w:p>
      <w:pPr>
        <w:pStyle w:val="Heading2"/>
      </w:pPr>
      <w:r>
        <w:t>Maintain two connected forecasts</w:t>
      </w:r>
    </w:p>
    <w:p>
      <w:r>
        <w:t>The deployment forecast follows site progression, crew capacity, supplier commitments, installation margin and recycled capital. The fleet forecast follows customer demand, service income, operating expenditure, co-operative acquisitions, repayments, maintenance and technology renewal. Neither forecast can be understood fully without the other.</w:t>
      </w:r>
    </w:p>
    <w:p>
      <w:pPr>
        <w:pStyle w:val="Heading2"/>
      </w:pPr>
      <w:r>
        <w:t>Test changes before committing</w:t>
      </w:r>
    </w:p>
    <w:p>
      <w:r>
        <w:t>Compare lower customer uptake, delayed installations, energy-cost changes, a different hardware generation, reduced heat use, slower co-operative buyouts and equipment downtime. Make the assumptions editable and show their consequences. No investor rate, utilisation level, heat price, repayment term or refresh interval is fixed by this introductory plan; those are inputs for the component work.</w:t>
      </w:r>
    </w:p>
    <w:p>
      <w:r>
        <w:t xml:space="preserve">Sources: </w:t>
      </w:r>
      <w:hyperlink r:id="rId14">
        <w:r>
          <w:rPr>
            <w:color w:val="285B62"/>
          </w:rPr>
          <w:t>D09</w:t>
        </w:r>
      </w:hyperlink>
      <w:r>
        <w:t xml:space="preserve"> · </w:t>
      </w:r>
      <w:hyperlink r:id="rId29">
        <w:r>
          <w:rPr>
            <w:color w:val="285B62"/>
          </w:rPr>
          <w:t>D10</w:t>
        </w:r>
      </w:hyperlink>
      <w:r>
        <w:t xml:space="preserve"> · </w:t>
      </w:r>
      <w:hyperlink r:id="rId19">
        <w:r>
          <w:rPr>
            <w:color w:val="285B62"/>
          </w:rPr>
          <w:t>P05</w:t>
        </w:r>
      </w:hyperlink>
    </w:p>
    <w:p>
      <w:pPr>
        <w:pStyle w:val="Heading1"/>
        <w:pageBreakBefore/>
      </w:pPr>
      <w:r>
        <w:t>09  Build for the next useful generation</w:t>
      </w:r>
    </w:p>
    <w:p>
      <w:pPr>
        <w:pStyle w:val="Subtitle"/>
      </w:pPr>
      <w:r>
        <w:t>The long-lived local asset is the capability around the rack, not a promise that today’s hardware stays frontier forever.</w:t>
      </w:r>
    </w:p>
    <w:p>
      <w:pPr>
        <w:pStyle w:val="Heading2"/>
      </w:pPr>
      <w:r>
        <w:t>Three connected lifecycles</w:t>
      </w:r>
    </w:p>
    <w:p>
      <w:r>
        <w:t>Buildings, site access, electrical routes and heat connections have one lifecycle. UPS, cooling equipment, controls and networking have another. Processors, memory, storage and rack-scale computing have their own replacement and upgrade decisions. The design records these separately rather than applying one depreciation or replacement assumption to everything.</w:t>
      </w:r>
    </w:p>
    <w:p>
      <w:pPr>
        <w:pStyle w:val="Heading2"/>
      </w:pPr>
      <w:r>
        <w:t>A documented upgrade envelope</w:t>
      </w:r>
    </w:p>
    <w:p>
      <w:r>
        <w:t>At installation, record the available electrical capacity, cooling capability, floor loading, space, handling route, fibre and service access. Identify what can be expanded and what requires further site work. Reserve practical expansion paths where justified without buying every imagined future requirement on day one.</w:t>
      </w:r>
    </w:p>
    <w:p>
      <w:pPr>
        <w:pStyle w:val="Heading2"/>
      </w:pPr>
      <w:r>
        <w:t>Upgrade when the work justifies it</w:t>
      </w:r>
    </w:p>
    <w:p>
      <w:r>
        <w:t>Review capability against workloads, demand, operating cost, efficiency, reliability, security and support. A new generation may justify a replacement, an additional node, a changed service mix or no immediate purchase. Performance comparisons belong to the actual work being delivered, not only headline processor specifications.</w:t>
      </w:r>
    </w:p>
    <w:p>
      <w:pPr>
        <w:pStyle w:val="Heading2"/>
      </w:pPr>
      <w:r>
        <w:t>Redeploy the useful equipment</w:t>
      </w:r>
    </w:p>
    <w:p>
      <w:r>
        <w:t>Previous-generation equipment can remain in service, move to another suitable workload or location, be sold through an agreed secondary-market route, or enter responsible recycling. A redeployment decision includes its remaining support, power and cooling needs, transport, preparation, data handling and the receiving operator’s responsibilities.</w:t>
      </w:r>
    </w:p>
    <w:p>
      <w:pPr>
        <w:pStyle w:val="Heading2"/>
      </w:pPr>
      <w:r>
        <w:t>Renewal without restarting extraction</w:t>
      </w:r>
    </w:p>
    <w:p>
      <w:r>
        <w:t>Build technology-renewal funding into the fleet model and the co-operative’s acquisition case. Separate the repayment of original finance from the cost of maintaining useful future capability. Each upgrade has an agreed scope, cost and ownership arrangement; it does not silently reinstate a permanent investor claim over the entire community network.</w:t>
      </w:r>
    </w:p>
    <w:p>
      <w:pPr>
        <w:pStyle w:val="Heading2"/>
      </w:pPr>
      <w:r>
        <w:t>Keep knowledge current with the fleet</w:t>
      </w:r>
    </w:p>
    <w:p>
      <w:r>
        <w:t>Record each hardware and software release in the site twin, refresh the relevant training material and rehearse changed maintenance and recovery tasks. The next installation benefits from measured experience with earlier generations while retaining a clear account of what has changed.</w:t>
      </w:r>
    </w:p>
    <w:p>
      <w:r>
        <w:t xml:space="preserve">Sources: </w:t>
      </w:r>
      <w:hyperlink r:id="rId22">
        <w:r>
          <w:rPr>
            <w:color w:val="285B62"/>
          </w:rPr>
          <w:t>D05</w:t>
        </w:r>
      </w:hyperlink>
      <w:r>
        <w:t xml:space="preserve"> · </w:t>
      </w:r>
      <w:hyperlink r:id="rId14">
        <w:r>
          <w:rPr>
            <w:color w:val="285B62"/>
          </w:rPr>
          <w:t>D09</w:t>
        </w:r>
      </w:hyperlink>
      <w:r>
        <w:t xml:space="preserve"> · </w:t>
      </w:r>
      <w:hyperlink r:id="rId16">
        <w:r>
          <w:rPr>
            <w:color w:val="285B62"/>
          </w:rPr>
          <w:t>P02</w:t>
        </w:r>
      </w:hyperlink>
    </w:p>
    <w:p>
      <w:pPr>
        <w:pStyle w:val="Heading1"/>
        <w:pageBreakBefore/>
      </w:pPr>
      <w:r>
        <w:t>10  Use the rules. Improve the rules. Preserve the purpose.</w:t>
      </w:r>
    </w:p>
    <w:p>
      <w:pPr>
        <w:pStyle w:val="Subtitle"/>
      </w:pPr>
      <w:r>
        <w:t>Legal intelligence is a development workstream within the federation, with Luke’s progression plans carried forward.</w:t>
      </w:r>
    </w:p>
    <w:p>
      <w:pPr>
        <w:pStyle w:val="Heading2"/>
      </w:pPr>
      <w:r>
        <w:t>The legal-engine contribution</w:t>
      </w:r>
    </w:p>
    <w:p>
      <w:r>
        <w:t>The Australian Legal Engine, Your Relevance and Legal Memory Workbench connect project circumstances with sources, jurisdictions, obligations, choices and reform proposals. Their role in this plan is to support installation, contracting, service delivery and the investigation of unnecessary friction. I will expand the components as required for the work we agree to develop.</w:t>
      </w:r>
    </w:p>
    <w:p>
      <w:pPr>
        <w:pStyle w:val="Heading2"/>
      </w:pPr>
      <w:r>
        <w:t>Comply while building the case for improvement</w:t>
      </w:r>
    </w:p>
    <w:p>
      <w:r>
        <w:t>Installations follow the applicable local requirements. Where the programme reveals duplication, delay or a rule that fails its purpose, record the source, the actual effect, the people affected and a proposed improvement. That supplies a grounded route for change instead of treating a hoped-for reform as permission to ignore the current requirement.</w:t>
      </w:r>
    </w:p>
    <w:p>
      <w:pPr>
        <w:pStyle w:val="Heading2"/>
      </w:pPr>
      <w:r>
        <w:t>Keep authority where it belongs</w:t>
      </w:r>
    </w:p>
    <w:p>
      <w:r>
        <w:t>The delivery organisation is responsible for its installation commitments; the host for its agreed role; the service operator for its service; and the co-operative for its assets and governance. Clinical and research programmes retain their own delivery and evidence pathways. A federation makes these relationships explicit rather than shifting every duty into the AI or the equipment owner.</w:t>
      </w:r>
    </w:p>
    <w:p>
      <w:pPr>
        <w:pStyle w:val="Heading2"/>
      </w:pPr>
      <w:r>
        <w:t>Personal data is not the product</w:t>
      </w:r>
    </w:p>
    <w:p>
      <w:r>
        <w:t>People own their personal data and digital twins. Agreements identify the work a service is authorised to perform, what information it needs, how records remain usable and how a person changes providers. Community and cultural authority remain distinct from commercial asset ownership. Public participation does not require disclosing a private Aura.</w:t>
      </w:r>
    </w:p>
    <w:p>
      <w:pPr>
        <w:pStyle w:val="Heading2"/>
      </w:pPr>
      <w:r>
        <w:t>A common project record</w:t>
      </w:r>
    </w:p>
    <w:p>
      <w:r>
        <w:t>Use consistent identifiers for the place, facility, asset, organisation, workload, agreement, source and revision. The installation twin holds its technical history; a personal Aura holds the person’s chosen account; a civic twin holds the information authorised for that civic purpose. Connections can be made without collapsing those records into one unrestricted database.</w:t>
      </w:r>
    </w:p>
    <w:p>
      <w:pPr>
        <w:pStyle w:val="Heading2"/>
      </w:pPr>
      <w:r>
        <w:t>Current direction takes precedence</w:t>
      </w:r>
    </w:p>
    <w:p>
      <w:r>
        <w:t>The original source documents are preserved unchanged for their history and detail. When a current direction differs from archive wording, the plan and agent briefs carry the current direction, with the difference recorded. This is especially important for the federation structure, Brad’s core-team role, non-monetary C-Hour and the intended progression of the software.</w:t>
      </w:r>
    </w:p>
    <w:p>
      <w:r>
        <w:t xml:space="preserve">Sources: </w:t>
      </w:r>
      <w:hyperlink r:id="rId31">
        <w:r>
          <w:rPr>
            <w:color w:val="285B62"/>
          </w:rPr>
          <w:t>D08</w:t>
        </w:r>
      </w:hyperlink>
      <w:r>
        <w:t xml:space="preserve"> · </w:t>
      </w:r>
      <w:hyperlink r:id="rId20">
        <w:r>
          <w:rPr>
            <w:color w:val="285B62"/>
          </w:rPr>
          <w:t>D11</w:t>
        </w:r>
      </w:hyperlink>
      <w:r>
        <w:t xml:space="preserve"> · </w:t>
      </w:r>
      <w:hyperlink r:id="rId32">
        <w:r>
          <w:rPr>
            <w:color w:val="285B62"/>
          </w:rPr>
          <w:t>P06</w:t>
        </w:r>
      </w:hyperlink>
      <w:r>
        <w:t xml:space="preserve"> · </w:t>
      </w:r>
      <w:hyperlink r:id="rId33">
        <w:r>
          <w:rPr>
            <w:color w:val="285B62"/>
          </w:rPr>
          <w:t>P07</w:t>
        </w:r>
      </w:hyperlink>
      <w:r>
        <w:t xml:space="preserve"> · </w:t>
      </w:r>
      <w:hyperlink r:id="rId34">
        <w:r>
          <w:rPr>
            <w:color w:val="285B62"/>
          </w:rPr>
          <w:t>P08</w:t>
        </w:r>
      </w:hyperlink>
      <w:r>
        <w:t xml:space="preserve"> · </w:t>
      </w:r>
      <w:hyperlink r:id="rId30">
        <w:r>
          <w:rPr>
            <w:color w:val="285B62"/>
          </w:rPr>
          <w:t>P09</w:t>
        </w:r>
      </w:hyperlink>
    </w:p>
    <w:p>
      <w:pPr>
        <w:pStyle w:val="Heading1"/>
        <w:pageBreakBefore/>
      </w:pPr>
      <w:r>
        <w:t>11  Three substantial components, developed together</w:t>
      </w:r>
    </w:p>
    <w:p>
      <w:pPr>
        <w:pStyle w:val="Subtitle"/>
      </w:pPr>
      <w:r>
        <w:t>Megan and Brad can take their own briefs into their agents and return work that fits the shared plan.</w:t>
      </w:r>
    </w:p>
    <w:p>
      <w:pPr>
        <w:pStyle w:val="Heading2"/>
      </w:pPr>
      <w:r>
        <w:t>Brad’s component: build the delivery operation</w:t>
      </w:r>
    </w:p>
    <w:p>
      <w:r>
        <w:t>Assemble the core team and supplier relationships; define installation archetypes; develop site-survey and workload-input requirements; cost the packages; map procurement and lead times; establish commissioning, maintenance and handover; and design workforce scaling and generational upgrades. Return the proposed delivery model, the assumptions behind it and the decisions needed from the rest of us.</w:t>
      </w:r>
    </w:p>
    <w:p>
      <w:pPr>
        <w:pStyle w:val="Heading2"/>
      </w:pPr>
      <w:r>
        <w:t>Megan’s component: make the relationships work</w:t>
      </w:r>
    </w:p>
    <w:p>
      <w:r>
        <w:t>Develop the institutional engagement and contracting structure across hosts, customers, installers, operators, funders and co-operative owners. Connect service specifications with acceptance, payment, maintenance, renewals and transfer. Develop the government-funding and procurement workstreams around the actual applicants and public outcomes. Return the relationship map, agreement package, financing choices and the inputs needed from Brad and me.</w:t>
      </w:r>
    </w:p>
    <w:p>
      <w:pPr>
        <w:pStyle w:val="Heading2"/>
      </w:pPr>
      <w:r>
        <w:t>Luke’s component: connect purpose, workloads and participation</w:t>
      </w:r>
    </w:p>
    <w:p>
      <w:r>
        <w:t>Develop the national opportunity register and outreach process; connect co-operative membership with hosts and customers; translate the supplied application programmes into workload briefs; carry forward personal-Aura and civic-twin architecture; and expand the legal-engine and learning components as required. Bring wellbeing, aged-care, tourism, education and research partners into the relevant conversations.</w:t>
      </w:r>
    </w:p>
    <w:p>
      <w:pPr>
        <w:pStyle w:val="Heading2"/>
      </w:pPr>
      <w:r>
        <w:t>The shared site brief</w:t>
      </w:r>
    </w:p>
    <w:p>
      <w:r>
        <w:t>Each candidate brief links location and geographic memberships, host and property owner, participating entities, proposed rack generation, workloads and users, heat use, power and connectivity, physical works, operating responsibilities, the commercial and funding arrangement, learning capture, ownership transfer and renewal. Missing inputs receive an owner and next action rather than an invented answer.</w:t>
      </w:r>
    </w:p>
    <w:p>
      <w:pPr>
        <w:pStyle w:val="Heading2"/>
      </w:pPr>
      <w:r>
        <w:t>How our agents contribute</w:t>
      </w:r>
    </w:p>
    <w:p>
      <w:r>
        <w:t>Each agent works for its responsible person and component. It reads this plan, the current-direction register and the relevant sources, then returns evidence-linked work, assumptions and specific proposed changes. It does not replace the federation with a conventional parent-company model, silently impose US legal or financial structures, invent endorsements, or rewrite Luke’s progression plans because only part of the work is public.</w:t>
      </w:r>
    </w:p>
    <w:p>
      <w:pPr>
        <w:pStyle w:val="Heading2"/>
      </w:pPr>
      <w:r>
        <w:t>A change is a proposal before it is a decision</w:t>
      </w:r>
    </w:p>
    <w:p>
      <w:r>
        <w:t>Useful challenges are welcome when they identify a specific technical, legal or commercial issue and preserve the shared purpose while exploring alternatives. Core changes return to the relevant people for agreement. Public outreach, expenditure, contracts, new commitments and changes to another project require the authority of the person responsible for that action.</w:t>
      </w:r>
    </w:p>
    <w:p>
      <w:r>
        <w:t xml:space="preserve">Sources: </w:t>
      </w:r>
      <w:hyperlink r:id="rId22">
        <w:r>
          <w:rPr>
            <w:color w:val="285B62"/>
          </w:rPr>
          <w:t>D05</w:t>
        </w:r>
      </w:hyperlink>
      <w:r>
        <w:t xml:space="preserve"> · </w:t>
      </w:r>
      <w:hyperlink r:id="rId17">
        <w:r>
          <w:rPr>
            <w:color w:val="285B62"/>
          </w:rPr>
          <w:t>P03</w:t>
        </w:r>
      </w:hyperlink>
      <w:r>
        <w:t xml:space="preserve"> · </w:t>
      </w:r>
      <w:hyperlink r:id="rId18">
        <w:r>
          <w:rPr>
            <w:color w:val="285B62"/>
          </w:rPr>
          <w:t>P04</w:t>
        </w:r>
      </w:hyperlink>
      <w:r>
        <w:t xml:space="preserve"> · </w:t>
      </w:r>
      <w:hyperlink r:id="rId19">
        <w:r>
          <w:rPr>
            <w:color w:val="285B62"/>
          </w:rPr>
          <w:t>P05</w:t>
        </w:r>
      </w:hyperlink>
    </w:p>
    <w:p>
      <w:pPr>
        <w:pStyle w:val="Heading1"/>
        <w:pageBreakBefore/>
      </w:pPr>
      <w:r>
        <w:t>12  Turn the shared direction into an executable programme</w:t>
      </w:r>
    </w:p>
    <w:p>
      <w:pPr>
        <w:pStyle w:val="Subtitle"/>
      </w:pPr>
      <w:r>
        <w:t>Develop the components in parallel, then join them around actual sites and operating relationships.</w:t>
      </w:r>
    </w:p>
    <w:p>
      <w:pPr>
        <w:pStyle w:val="Heading2"/>
      </w:pPr>
      <w:r>
        <w:t>Begin with our complementary strengths</w:t>
      </w:r>
    </w:p>
    <w:p>
      <w:r>
        <w:t>Brad develops the delivery team and installation model. Megan develops institutional and commercial arrangements. I develop the workload, participation and federation connections. Each stream can advance without waiting for a single finished national blueprint, while shared assumptions remain visible.</w:t>
      </w:r>
    </w:p>
    <w:p>
      <w:pPr>
        <w:pStyle w:val="Heading2"/>
      </w:pPr>
      <w:r>
        <w:t>Use responses to shape the first cohort</w:t>
      </w:r>
    </w:p>
    <w:p>
      <w:r>
        <w:t>Start nationwide expressions of interest and develop specific local briefs as people respond. Compare the opportunities across existing hosts and new hubs. The first installations should supply useful variation in host type, heat use, workload and delivery conditions, while remaining a coherent programme the team can support.</w:t>
      </w:r>
    </w:p>
    <w:p>
      <w:pPr>
        <w:pStyle w:val="Heading2"/>
      </w:pPr>
      <w:r>
        <w:t>Make one complete delivery cycle repeatable</w:t>
      </w:r>
    </w:p>
    <w:p>
      <w:r>
        <w:t>Follow a site from first conversation through the engineered design, financing and contracts, procurement, installation, commissioning, workforce learning, useful service and co-operative acquisition. Review the actual cost, time, demand, heat use, effort and lessons. Reuse the parts that work and revise the parts that do not.</w:t>
      </w:r>
    </w:p>
    <w:p>
      <w:pPr>
        <w:pStyle w:val="Heading2"/>
      </w:pPr>
      <w:r>
        <w:t>Expand delivery and local ownership together</w:t>
      </w:r>
    </w:p>
    <w:p>
      <w:r>
        <w:t>As the pipeline strengthens, expand crew capacity, supplier arrangements, reusable training and the financing facility. Co-operatives can join earlier, acquire installations as they become ready and contribute to subsequent development. Geographic coverage and fleet capability grow through the combined programme, rather than a rigid order of postcodes.</w:t>
      </w:r>
    </w:p>
    <w:p>
      <w:pPr>
        <w:pStyle w:val="Heading2"/>
      </w:pPr>
      <w:r>
        <w:t>Keep the horizon open</w:t>
      </w:r>
    </w:p>
    <w:p>
      <w:r>
        <w:t>New compute generations, personal-Aura tools, community simulations, scientific models and wellbeing programmes will change what the federation can do. The plan provides a way to keep installing useful capability, preserving ownership and learning through that change. Joyful Responsible Abundance remains the direction: lives worth enjoying, responsibility for consequences and wider access to useful opportunity.</w:t>
      </w:r>
    </w:p>
    <w:p>
      <w:pPr>
        <w:pStyle w:val="Heading2"/>
      </w:pPr>
      <w:r>
        <w:t>The proposal in one sentence</w:t>
      </w:r>
    </w:p>
    <w:p>
      <w:r>
        <w:t>Build the installation industry and shared learning system that place frontier compute and useful heat within reach of communities, finance its growth with an agreed end to outside returns, and leave the resulting capability owned and directed through a federation of people and organisations.</w:t>
      </w:r>
    </w:p>
    <w:p>
      <w:r>
        <w:t xml:space="preserve">Sources: </w:t>
      </w:r>
      <w:hyperlink r:id="rId15">
        <w:r>
          <w:rPr>
            <w:color w:val="285B62"/>
          </w:rPr>
          <w:t>P01</w:t>
        </w:r>
      </w:hyperlink>
      <w:r>
        <w:t xml:space="preserve"> · </w:t>
      </w:r>
      <w:hyperlink r:id="rId16">
        <w:r>
          <w:rPr>
            <w:color w:val="285B62"/>
          </w:rPr>
          <w:t>P02</w:t>
        </w:r>
      </w:hyperlink>
      <w:r>
        <w:t xml:space="preserve"> · </w:t>
      </w:r>
      <w:hyperlink r:id="rId19">
        <w:r>
          <w:rPr>
            <w:color w:val="285B62"/>
          </w:rPr>
          <w:t>P05</w:t>
        </w:r>
      </w:hyperlink>
      <w:r>
        <w:t xml:space="preserve"> · </w:t>
      </w:r>
      <w:hyperlink r:id="rId35">
        <w:r>
          <w:rPr>
            <w:color w:val="285B62"/>
          </w:rPr>
          <w:t>P11</w:t>
        </w:r>
      </w:hyperlink>
      <w:r>
        <w:t xml:space="preserve"> · </w:t>
      </w:r>
      <w:hyperlink r:id="rId36">
        <w:r>
          <w:rPr>
            <w:color w:val="285B62"/>
          </w:rPr>
          <w:t>P12</w:t>
        </w:r>
      </w:hyperlink>
      <w:r>
        <w:t xml:space="preserve"> · </w:t>
      </w:r>
      <w:hyperlink r:id="rId37">
        <w:r>
          <w:rPr>
            <w:color w:val="285B62"/>
          </w:rPr>
          <w:t>P13</w:t>
        </w:r>
      </w:hyperlink>
    </w:p>
    <w:p>
      <w:pPr>
        <w:pStyle w:val="Heading1"/>
        <w:pageBreakBefore/>
      </w:pPr>
      <w:r>
        <w:t>Original document library</w:t>
      </w:r>
    </w:p>
    <w:p>
      <w:r>
        <w:t>Original files are preserved unchanged. Current directions govern the new plan where archive wording differs. The complete website library identifies the status of every supplied edition and provides searchable reading copies and original downloads.</w:t>
      </w:r>
    </w:p>
    <w:p>
      <w:pPr>
        <w:pStyle w:val="Heading2"/>
      </w:pPr>
      <w:r>
        <w:t>D01  A Fair Go for the AI Age: Postcode-Level Sovereign Compute</w:t>
      </w:r>
    </w:p>
    <w:p>
      <w:r>
        <w:t>National rationale for shared community compute.</w:t>
      </w:r>
    </w:p>
    <w:p>
      <w:hyperlink r:id="rId13">
        <w:r>
          <w:rPr>
            <w:color w:val="285B62"/>
          </w:rPr>
          <w:t>Original file and reading copy</w:t>
        </w:r>
      </w:hyperlink>
    </w:p>
    <w:p>
      <w:pPr>
        <w:pStyle w:val="Heading2"/>
      </w:pPr>
      <w:r>
        <w:t>D02  AUKUS Public Inquiry Submission</w:t>
      </w:r>
    </w:p>
    <w:p>
      <w:r>
        <w:t>Wider national capability and public-investment context.</w:t>
      </w:r>
    </w:p>
    <w:p>
      <w:hyperlink r:id="rId38">
        <w:r>
          <w:rPr>
            <w:color w:val="285B62"/>
          </w:rPr>
          <w:t>Original file and reading copy</w:t>
        </w:r>
      </w:hyperlink>
    </w:p>
    <w:p>
      <w:pPr>
        <w:pStyle w:val="Heading2"/>
      </w:pPr>
      <w:r>
        <w:t>D03  Aura Genesis for Children and Young People in Australian Care</w:t>
      </w:r>
    </w:p>
    <w:p>
      <w:r>
        <w:t>Child and youth learning, care continuity, Verse Box and opportunities for adulthood.</w:t>
      </w:r>
    </w:p>
    <w:p>
      <w:hyperlink r:id="rId24">
        <w:r>
          <w:rPr>
            <w:color w:val="285B62"/>
          </w:rPr>
          <w:t>Original file and reading copy</w:t>
        </w:r>
      </w:hyperlink>
    </w:p>
    <w:p>
      <w:pPr>
        <w:pStyle w:val="Heading2"/>
      </w:pPr>
      <w:r>
        <w:t>D04  Aura Genesis Geode Development, Edition 3</w:t>
      </w:r>
    </w:p>
    <w:p>
      <w:r>
        <w:t>Genesis, personal models, materials, hub workloads and civic infrastructure; especially page 37.</w:t>
      </w:r>
    </w:p>
    <w:p>
      <w:hyperlink r:id="rId25">
        <w:r>
          <w:rPr>
            <w:color w:val="285B62"/>
          </w:rPr>
          <w:t>Original file and reading copy</w:t>
        </w:r>
      </w:hyperlink>
    </w:p>
    <w:p>
      <w:pPr>
        <w:pStyle w:val="Heading2"/>
      </w:pPr>
      <w:r>
        <w:t>D05  Aura Teacher Training: 60 Days</w:t>
      </w:r>
    </w:p>
    <w:p>
      <w:r>
        <w:t>Sixty-day learning programme; Days 41–42 directly connect rack deployment and distributed continuity.</w:t>
      </w:r>
    </w:p>
    <w:p>
      <w:hyperlink r:id="rId22">
        <w:r>
          <w:rPr>
            <w:color w:val="285B62"/>
          </w:rPr>
          <w:t>Original file and reading copy</w:t>
        </w:r>
      </w:hyperlink>
    </w:p>
    <w:p>
      <w:pPr>
        <w:pStyle w:val="Heading2"/>
      </w:pPr>
      <w:r>
        <w:t>D06  Aura of Intelligence for Adaptive Whole-of-Life Support</w:t>
      </w:r>
    </w:p>
    <w:p>
      <w:r>
        <w:t>Dementia, disability, ageing, personal records and changes of care or home.</w:t>
      </w:r>
    </w:p>
    <w:p>
      <w:hyperlink r:id="rId26">
        <w:r>
          <w:rPr>
            <w:color w:val="285B62"/>
          </w:rPr>
          <w:t>Original file and reading copy</w:t>
        </w:r>
      </w:hyperlink>
    </w:p>
    <w:p>
      <w:pPr>
        <w:pStyle w:val="Heading2"/>
      </w:pPr>
      <w:r>
        <w:t>D07  Aura of Intelligence for Tourism and Domestic Travel</w:t>
      </w:r>
    </w:p>
    <w:p>
      <w:r>
        <w:t>Qualified-self development through travel; operator, volunteer and public-service connections.</w:t>
      </w:r>
    </w:p>
    <w:p>
      <w:hyperlink r:id="rId27">
        <w:r>
          <w:rPr>
            <w:color w:val="285B62"/>
          </w:rPr>
          <w:t>Original file and reading copy</w:t>
        </w:r>
      </w:hyperlink>
    </w:p>
    <w:p>
      <w:pPr>
        <w:pStyle w:val="Heading1"/>
        <w:pageBreakBefore/>
      </w:pPr>
      <w:r>
        <w:t>Original document library, continued</w:t>
      </w:r>
    </w:p>
    <w:p>
      <w:pPr>
        <w:pStyle w:val="Heading2"/>
      </w:pPr>
      <w:r>
        <w:t>D08  Building an Australian Legal RAG System</w:t>
      </w:r>
    </w:p>
    <w:p>
      <w:r>
        <w:t>Legal intelligence design background; the current project direction governs development.</w:t>
      </w:r>
    </w:p>
    <w:p>
      <w:hyperlink r:id="rId31">
        <w:r>
          <w:rPr>
            <w:color w:val="285B62"/>
          </w:rPr>
          <w:t>Original file and reading copy</w:t>
        </w:r>
      </w:hyperlink>
    </w:p>
    <w:p>
      <w:pPr>
        <w:pStyle w:val="Heading2"/>
      </w:pPr>
      <w:r>
        <w:t>D09  Do Not Put All Our Eggs in One Basket</w:t>
      </w:r>
    </w:p>
    <w:p>
      <w:r>
        <w:t>Distributed infrastructure discussion and carried-forward capital planning assumptions.</w:t>
      </w:r>
    </w:p>
    <w:p>
      <w:hyperlink r:id="rId14">
        <w:r>
          <w:rPr>
            <w:color w:val="285B62"/>
          </w:rPr>
          <w:t>Original file and reading copy</w:t>
        </w:r>
      </w:hyperlink>
    </w:p>
    <w:p>
      <w:pPr>
        <w:pStyle w:val="Heading2"/>
      </w:pPr>
      <w:r>
        <w:t>D10  Fiji–Australia Vuvale Union Submission</w:t>
      </w:r>
    </w:p>
    <w:p>
      <w:r>
        <w:t>Regional relationships, ownership, workforce and public-purpose development.</w:t>
      </w:r>
    </w:p>
    <w:p>
      <w:hyperlink r:id="rId29">
        <w:r>
          <w:rPr>
            <w:color w:val="285B62"/>
          </w:rPr>
          <w:t>Original file and reading copy</w:t>
        </w:r>
      </w:hyperlink>
    </w:p>
    <w:p>
      <w:pPr>
        <w:pStyle w:val="Heading2"/>
      </w:pPr>
      <w:r>
        <w:t>D11  Local Government Funding Inquiry Submission</w:t>
      </w:r>
    </w:p>
    <w:p>
      <w:r>
        <w:t>Civic twins, community assets and local-government funding context.</w:t>
      </w:r>
    </w:p>
    <w:p>
      <w:hyperlink r:id="rId20">
        <w:r>
          <w:rPr>
            <w:color w:val="285B62"/>
          </w:rPr>
          <w:t>Original file and reading copy</w:t>
        </w:r>
      </w:hyperlink>
    </w:p>
    <w:p>
      <w:pPr>
        <w:pStyle w:val="Heading2"/>
      </w:pPr>
      <w:r>
        <w:t>D12  Ocean of Peace Alliance / Veitacini Treaty Submission</w:t>
      </w:r>
    </w:p>
    <w:p>
      <w:r>
        <w:t>Regional cooperation and longer-term shared capability.</w:t>
      </w:r>
    </w:p>
    <w:p>
      <w:hyperlink r:id="rId39">
        <w:r>
          <w:rPr>
            <w:color w:val="285B62"/>
          </w:rPr>
          <w:t>Original file and reading copy</w:t>
        </w:r>
      </w:hyperlink>
    </w:p>
    <w:p>
      <w:pPr>
        <w:pStyle w:val="Heading2"/>
      </w:pPr>
      <w:r>
        <w:t>D13  Ready SET Co-op: 2026 Strategy Archive</w:t>
      </w:r>
    </w:p>
    <w:p>
      <w:r>
        <w:t>Earlier organisational and workforce design; read with current naming and the non-monetary C-Hour direction.</w:t>
      </w:r>
    </w:p>
    <w:p>
      <w:hyperlink r:id="rId23">
        <w:r>
          <w:rPr>
            <w:color w:val="285B62"/>
          </w:rPr>
          <w:t>Original file and reading copy</w:t>
        </w:r>
      </w:hyperlink>
    </w:p>
    <w:p>
      <w:pPr>
        <w:pStyle w:val="Heading2"/>
      </w:pPr>
      <w:r>
        <w:t>D14  Global Sensorium: Scientific Models and Debate</w:t>
      </w:r>
    </w:p>
    <w:p>
      <w:r>
        <w:t>Earth-space digital twins, sensor pipelines, simulation, model comparison and community science.</w:t>
      </w:r>
    </w:p>
    <w:p>
      <w:hyperlink r:id="rId28">
        <w:r>
          <w:rPr>
            <w:color w:val="285B62"/>
          </w:rPr>
          <w:t>Original file and reading copy</w:t>
        </w:r>
      </w:hyperlink>
    </w:p>
    <w:p>
      <w:pPr>
        <w:pStyle w:val="Heading1"/>
        <w:pageBreakBefore/>
      </w:pPr>
      <w:r>
        <w:t>Supplied project connections</w:t>
      </w:r>
    </w:p>
    <w:p>
      <w:pPr>
        <w:pStyle w:val="Heading2"/>
      </w:pPr>
      <w:r>
        <w:t>P01  UNGA81: A fair go in the age of intelligence</w:t>
      </w:r>
    </w:p>
    <w:p>
      <w:r>
        <w:t>Public-purpose and missing-middle framework</w:t>
      </w:r>
    </w:p>
    <w:p>
      <w:hyperlink r:id="rId40">
        <w:r>
          <w:rPr>
            <w:color w:val="285B62"/>
          </w:rPr>
          <w:t>https://auraofintelligence.github.io/UNGA81-Luke-Hayes/</w:t>
        </w:r>
      </w:hyperlink>
    </w:p>
    <w:p>
      <w:pPr>
        <w:pStyle w:val="Heading2"/>
      </w:pPr>
      <w:r>
        <w:t>P02  Ready SET Co-op Cultural Intelligence Node</w:t>
      </w:r>
    </w:p>
    <w:p>
      <w:r>
        <w:t>A local rack, workloads, shared equipment and learning</w:t>
      </w:r>
    </w:p>
    <w:p>
      <w:hyperlink r:id="rId41">
        <w:r>
          <w:rPr>
            <w:color w:val="285B62"/>
          </w:rPr>
          <w:t>https://auraofintelligence.github.io/ready-set-co-op-cultural-intelligence-node/index.html</w:t>
        </w:r>
      </w:hyperlink>
    </w:p>
    <w:p>
      <w:pPr>
        <w:pStyle w:val="Heading2"/>
      </w:pPr>
      <w:r>
        <w:t>P03  Ready SET Co-op Trust Hub</w:t>
      </w:r>
    </w:p>
    <w:p>
      <w:r>
        <w:t>Participation, relationships and shared assets</w:t>
      </w:r>
    </w:p>
    <w:p>
      <w:hyperlink r:id="rId42">
        <w:r>
          <w:rPr>
            <w:color w:val="285B62"/>
          </w:rPr>
          <w:t>https://auraofintelligence.github.io/ready-set-co-op-trust-hub/</w:t>
        </w:r>
      </w:hyperlink>
    </w:p>
    <w:p>
      <w:pPr>
        <w:pStyle w:val="Heading2"/>
      </w:pPr>
      <w:r>
        <w:t>P04  500 Queens Venture Capital</w:t>
      </w:r>
    </w:p>
    <w:p>
      <w:r>
        <w:t>Women-led enterprise, leadership and investment development</w:t>
      </w:r>
    </w:p>
    <w:p>
      <w:hyperlink r:id="rId43">
        <w:r>
          <w:rPr>
            <w:color w:val="285B62"/>
          </w:rPr>
          <w:t>https://auraofintelligence.github.io/500-Queens-VC-2026/</w:t>
        </w:r>
      </w:hyperlink>
    </w:p>
    <w:p>
      <w:pPr>
        <w:pStyle w:val="Heading2"/>
      </w:pPr>
      <w:r>
        <w:t>P05  Mutual Futures</w:t>
      </w:r>
    </w:p>
    <w:p>
      <w:r>
        <w:t>Business succession, ownership, learning and time</w:t>
      </w:r>
    </w:p>
    <w:p>
      <w:hyperlink r:id="rId44">
        <w:r>
          <w:rPr>
            <w:color w:val="285B62"/>
          </w:rPr>
          <w:t>https://auraofintelligence.github.io/mutual-futures/</w:t>
        </w:r>
      </w:hyperlink>
    </w:p>
    <w:p>
      <w:pPr>
        <w:pStyle w:val="Heading2"/>
      </w:pPr>
      <w:r>
        <w:t>P06  Australian Law 2012 and Your Relevance</w:t>
      </w:r>
    </w:p>
    <w:p>
      <w:r>
        <w:t>Personal and project-specific legal relevance</w:t>
      </w:r>
    </w:p>
    <w:p>
      <w:hyperlink r:id="rId45">
        <w:r>
          <w:rPr>
            <w:color w:val="285B62"/>
          </w:rPr>
          <w:t>https://auraofintelligence.github.io/australian-law-2012-lukes-relevance/</w:t>
        </w:r>
      </w:hyperlink>
    </w:p>
    <w:p>
      <w:pPr>
        <w:pStyle w:val="Heading2"/>
      </w:pPr>
      <w:r>
        <w:t>P07  Australian Legal Engine</w:t>
      </w:r>
    </w:p>
    <w:p>
      <w:r>
        <w:t>Source-linked legal intelligence development</w:t>
      </w:r>
    </w:p>
    <w:p>
      <w:hyperlink r:id="rId46">
        <w:r>
          <w:rPr>
            <w:color w:val="285B62"/>
          </w:rPr>
          <w:t>https://github.com/auraofintelligence/australian-legal-engine</w:t>
        </w:r>
      </w:hyperlink>
    </w:p>
    <w:p>
      <w:pPr>
        <w:pStyle w:val="Heading1"/>
        <w:pageBreakBefore/>
      </w:pPr>
      <w:r>
        <w:t>Supplied project connections, continued</w:t>
      </w:r>
    </w:p>
    <w:p>
      <w:pPr>
        <w:pStyle w:val="Heading2"/>
      </w:pPr>
      <w:r>
        <w:t>P08  Legal Memory Workbench</w:t>
      </w:r>
    </w:p>
    <w:p>
      <w:r>
        <w:t>Project context and legal research preparation</w:t>
      </w:r>
    </w:p>
    <w:p>
      <w:hyperlink r:id="rId47">
        <w:r>
          <w:rPr>
            <w:color w:val="285B62"/>
          </w:rPr>
          <w:t>https://auraofintelligence.github.io/legal-memory-workbench/</w:t>
        </w:r>
      </w:hyperlink>
    </w:p>
    <w:p>
      <w:pPr>
        <w:pStyle w:val="Heading2"/>
      </w:pPr>
      <w:r>
        <w:t>P09  C-Hour Introduction</w:t>
      </w:r>
    </w:p>
    <w:p>
      <w:r>
        <w:t>Voluntary contribution and non-monetary reciprocity</w:t>
      </w:r>
    </w:p>
    <w:p>
      <w:hyperlink r:id="rId48">
        <w:r>
          <w:rPr>
            <w:color w:val="285B62"/>
          </w:rPr>
          <w:t>https://auraofintelligence.github.io/C-Hour-introduction/</w:t>
        </w:r>
      </w:hyperlink>
    </w:p>
    <w:p>
      <w:pPr>
        <w:pStyle w:val="Heading2"/>
      </w:pPr>
      <w:r>
        <w:t>P10  P4A</w:t>
      </w:r>
    </w:p>
    <w:p>
      <w:r>
        <w:t>Civic development, councils, divisions and electorate twins</w:t>
      </w:r>
    </w:p>
    <w:p>
      <w:hyperlink r:id="rId49">
        <w:r>
          <w:rPr>
            <w:color w:val="285B62"/>
          </w:rPr>
          <w:t>https://p4a.xyz/</w:t>
        </w:r>
      </w:hyperlink>
    </w:p>
    <w:p>
      <w:pPr>
        <w:pStyle w:val="Heading2"/>
      </w:pPr>
      <w:r>
        <w:t>P11  Aura Genesis Geode Atlas</w:t>
      </w:r>
    </w:p>
    <w:p>
      <w:r>
        <w:t>Genesis, Geode development and teacher learning</w:t>
      </w:r>
    </w:p>
    <w:p>
      <w:hyperlink r:id="rId50">
        <w:r>
          <w:rPr>
            <w:color w:val="285B62"/>
          </w:rPr>
          <w:t>https://auraofintelligence.github.io/aura-genesis-geode-atlas/</w:t>
        </w:r>
      </w:hyperlink>
    </w:p>
    <w:p>
      <w:pPr>
        <w:pStyle w:val="Heading2"/>
      </w:pPr>
      <w:r>
        <w:t>P12  Oceania Healthy De-Slop Co-ops</w:t>
      </w:r>
    </w:p>
    <w:p>
      <w:r>
        <w:t>Locally shaped wellbeing co-operatives</w:t>
      </w:r>
    </w:p>
    <w:p>
      <w:hyperlink r:id="rId51">
        <w:r>
          <w:rPr>
            <w:color w:val="285B62"/>
          </w:rPr>
          <w:t>https://auraofintelligence.github.io/Oceania-healthy-de-slop-co-ops/</w:t>
        </w:r>
      </w:hyperlink>
    </w:p>
    <w:p>
      <w:pPr>
        <w:pStyle w:val="Heading2"/>
      </w:pPr>
      <w:r>
        <w:t>P13  82 Claytons Road Anglican partnership proposal</w:t>
      </w:r>
    </w:p>
    <w:p>
      <w:r>
        <w:t>Aged care, longevity and community assets</w:t>
      </w:r>
    </w:p>
    <w:p>
      <w:hyperlink r:id="rId52">
        <w:r>
          <w:rPr>
            <w:color w:val="285B62"/>
          </w:rPr>
          <w:t>https://github.com/auraofintelligence/Anglican-Diocese-82-Claytons-Amity</w:t>
        </w:r>
      </w:hyperlink>
    </w:p>
    <w:p>
      <w:pPr>
        <w:pStyle w:val="Heading2"/>
      </w:pPr>
      <w:r>
        <w:t>P14  Installing the Missing Middle source repository</w:t>
      </w:r>
    </w:p>
    <w:p>
      <w:r>
        <w:t>This presentation, source register and shared development briefs</w:t>
      </w:r>
    </w:p>
    <w:p>
      <w:hyperlink r:id="rId53">
        <w:r>
          <w:rPr>
            <w:color w:val="285B62"/>
          </w:rPr>
          <w:t>https://github.com/auraofintelligence/installing-the-missing-middle</w:t>
        </w:r>
      </w:hyperlink>
    </w:p>
    <w:p>
      <w:pPr>
        <w:pStyle w:val="Heading1"/>
        <w:pageBreakBefore/>
      </w:pPr>
      <w:r>
        <w:t>Continue the work with your agents</w:t>
      </w:r>
    </w:p>
    <w:p>
      <w:r>
        <w:t>Separate briefs develop the three components while retaining the shared direction. The repository contains the full manuscript, source register, original uploads and build process.</w:t>
      </w:r>
    </w:p>
    <w:p>
      <w:hyperlink r:id="rId54">
        <w:r>
          <w:rPr>
            <w:color w:val="285B62"/>
          </w:rPr>
          <w:t>Brad component brief</w:t>
        </w:r>
      </w:hyperlink>
    </w:p>
    <w:p>
      <w:hyperlink r:id="rId55">
        <w:r>
          <w:rPr>
            <w:color w:val="285B62"/>
          </w:rPr>
          <w:t>Megan component brief</w:t>
        </w:r>
      </w:hyperlink>
    </w:p>
    <w:p>
      <w:hyperlink r:id="rId56">
        <w:r>
          <w:rPr>
            <w:color w:val="285B62"/>
          </w:rPr>
          <w:t>Luke component brief</w:t>
        </w:r>
      </w:hyperlink>
    </w:p>
    <w:p>
      <w:hyperlink r:id="rId57">
        <w:r>
          <w:rPr>
            <w:color w:val="285B62"/>
          </w:rPr>
          <w:t>Shared agent instructions</w:t>
        </w:r>
      </w:hyperlink>
    </w:p>
    <w:p>
      <w:hyperlink r:id="rId58">
        <w:r>
          <w:rPr>
            <w:color w:val="285B62"/>
          </w:rPr>
          <w:t>Current direction</w:t>
        </w:r>
      </w:hyperlink>
    </w:p>
    <w:p>
      <w:hyperlink r:id="rId59">
        <w:r>
          <w:rPr>
            <w:color w:val="285B62"/>
          </w:rPr>
          <w:t>Candidate site brief</w:t>
        </w:r>
      </w:hyperlink>
    </w:p>
    <w:p>
      <w:pPr>
        <w:pStyle w:val="Heading2"/>
      </w:pPr>
      <w:r>
        <w:t>Publication and source notes</w:t>
      </w:r>
    </w:p>
    <w:p>
      <w:r>
        <w:t>The Word edition, PDF and website are generated from content/plan.md. The original source documents retain their original terms, claims, dates and development history. The 29 October 2026 direction supplies the federation structure, family contributions, parallel national outreach and finite-return ownership model for this plan.</w:t>
      </w:r>
    </w:p>
    <w:p>
      <w:r>
        <w:t>Artwork is illustrative material from connected source projects, with provenance retained in content/artwork.json. No image establishes a completed installation, institutional endorsement or a supplier commitment.</w:t>
      </w:r>
    </w:p>
    <w:p>
      <w:pPr>
        <w:pStyle w:val="Heading1"/>
        <w:pageBreakBefore/>
      </w:pPr>
      <w:r>
        <w:t>Strange But True Public Source Licence</w:t>
      </w:r>
    </w:p>
    <w:p>
      <w:r>
        <w:t>Copyright (c) 2026 Luke Nathan Hayes / Strange But True / Aura of Intelligence.</w:t>
        <w:br/>
        <w:t>All rights reserved except as allowed below.</w:t>
      </w:r>
    </w:p>
    <w:p>
      <w:r>
        <w:t>This is a plain-language licence for installing-the-missing-middle.</w:t>
      </w:r>
    </w:p>
    <w:p>
      <w:r>
        <w:t>This is not an open-source licence. It is a public source licence: people can read, learn from and use the work personally, but commercial and corporate rights stay with Luke Nathan Hayes.</w:t>
      </w:r>
    </w:p>
    <w:p>
      <w:pPr>
        <w:pStyle w:val="Heading2"/>
      </w:pPr>
      <w:r>
        <w:t>1. What You Can Do</w:t>
      </w:r>
    </w:p>
    <w:p>
      <w:r>
        <w:t>You may view, share, clone, study, reference and adapt this repo for personal, educational, artistic, research, community or other non-commercial use.</w:t>
      </w:r>
    </w:p>
    <w:p>
      <w:r>
        <w:t>You may use a personal AI assistant to help read, explain or adapt the repo for those allowed non-commercial uses.</w:t>
      </w:r>
    </w:p>
    <w:p>
      <w:r>
        <w:t>If you use or adapt the work, give clear credit:</w:t>
      </w:r>
    </w:p>
    <w:p>
      <w:r>
        <w:t>Based on installing-the-missing-middle by Luke Nathan Hayes / Strange But True / Aura of Intelligence.</w:t>
        <w:br/>
        <w:t>Original project: https://github.com/auraofintelligence/installing-the-missing-middle</w:t>
        <w:br/>
        <w:t>Used under the Strange But True Public Source Licence.</w:t>
      </w:r>
    </w:p>
    <w:p>
      <w:pPr>
        <w:pStyle w:val="Heading2"/>
      </w:pPr>
      <w:r>
        <w:t>2. What You Cannot Do Without Permission</w:t>
      </w:r>
    </w:p>
    <w:p>
      <w:r>
        <w:t>You may not use this repo, its code, ideas, text, designs, workflows, data structures, assets, names or close derivatives for commercial, corporate, institutional, government, startup, agency, client or employer purposes without written permission from Luke Nathan Hayes.</w:t>
      </w:r>
    </w:p>
    <w:p>
      <w:r>
        <w:t>That means you may not:</w:t>
      </w:r>
    </w:p>
    <w:p>
      <w:r>
        <w:t>- sell, monetise, repackage, licence, sponsor, advertise with or commercially distribute the work;</w:t>
        <w:br/>
        <w:t>- use it in paid products, SaaS tools, client work, consulting, courses, workshops, dashboards, templates or commercial infrastructure;</w:t>
        <w:br/>
        <w:t>- use it inside a company, agency, startup, institution, government body or funded commercial project;</w:t>
        <w:br/>
        <w:t>- use it for commercial AI training, datasets, embeddings, knowledge bases, agents, model products or evaluation systems;</w:t>
        <w:br/>
        <w:t>- remove attribution or present the work as your own;</w:t>
        <w:br/>
        <w:t>- use Strange But True, Aura of Intelligence, Luke Nathan Hayes, project names, screenshots, music, writing, images or brand material to imply endorsement, partnership or approval.</w:t>
      </w:r>
    </w:p>
    <w:p>
      <w:pPr>
        <w:pStyle w:val="Heading2"/>
      </w:pPr>
      <w:r>
        <w:t>3. Commercial Rights</w:t>
      </w:r>
    </w:p>
    <w:p>
      <w:r>
        <w:t>All commercial rights are reserved to Luke Nathan Hayes.</w:t>
      </w:r>
    </w:p>
    <w:p>
      <w:r>
        <w:t>Commercial use requires written permission from Luke Nathan Hayes. Permission can be granted, denied, limited, priced or handled under a separate agreement.</w:t>
      </w:r>
    </w:p>
    <w:p>
      <w:pPr>
        <w:pStyle w:val="Heading2"/>
      </w:pPr>
      <w:r>
        <w:t>4. Your Own Outputs</w:t>
      </w:r>
    </w:p>
    <w:p>
      <w:r>
        <w:t>If this repo lets you create your own notes, Markdown files, exports, maps, profiles, plans or other personal outputs, those outputs belong to you.</w:t>
      </w:r>
    </w:p>
    <w:p>
      <w:r>
        <w:t>You are responsible for what you put into the tool, what you export, and where you share it.</w:t>
      </w:r>
    </w:p>
    <w:p>
      <w:pPr>
        <w:pStyle w:val="Heading2"/>
      </w:pPr>
      <w:r>
        <w:t>5. Third-Party Material</w:t>
      </w:r>
    </w:p>
    <w:p>
      <w:r>
        <w:t>This licence only covers original material created by Luke Nathan Hayes / Strange But True / Aura of Intelligence.</w:t>
      </w:r>
    </w:p>
    <w:p>
      <w:r>
        <w:t>Third-party libraries, fonts, APIs, platforms, services or embedded material keep their own licences.</w:t>
      </w:r>
    </w:p>
    <w:p>
      <w:pPr>
        <w:pStyle w:val="Heading2"/>
      </w:pPr>
      <w:r>
        <w:t>6. No Harmful Or Misleading Use</w:t>
      </w:r>
    </w:p>
    <w:p>
      <w:r>
        <w:t>You may not use this repo or its material for deceptive, exploitative, aggressive, hateful, harassing, unsafe or harmful purposes.</w:t>
      </w:r>
    </w:p>
    <w:p>
      <w:r>
        <w:t>You may not use it to mislead people about privacy, security, law, finance, health, public safety, governance, crypto, AI capability or current events.</w:t>
      </w:r>
    </w:p>
    <w:p>
      <w:pPr>
        <w:pStyle w:val="Heading2"/>
      </w:pPr>
      <w:r>
        <w:t>7. No Warranty</w:t>
      </w:r>
    </w:p>
    <w:p>
      <w:r>
        <w:t>This repo is provided as-is.</w:t>
      </w:r>
    </w:p>
    <w:p>
      <w:r>
        <w:t>Luke Nathan Hayes / Strange But True / Aura of Intelligence make no warranties and accept no liability for how you use, adapt, interpret, deploy or rely on this material.</w:t>
      </w:r>
    </w:p>
    <w:p>
      <w:r>
        <w:t>Public prototypes are not finished legal, medical, financial, privacy, security, public-safety, governance, crypto, AI-governance or production infrastructure unless Luke Nathan Hayes explicitly says so in writing.</w:t>
        <w:br/>
      </w:r>
    </w:p>
    <w:sectPr w:rsidR="00FC693F" w:rsidRPr="0006063C" w:rsidSect="00034616">
      <w:footerReference w:type="default" r:id="rId9"/>
      <w:headerReference w:type="default" r:id="rId10"/>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26568"/>
        <w:sz w:val="17"/>
      </w:rPr>
      <w:t xml:space="preserve">Installing the Missing Middle | Luke Nathan Hayes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7"/>
      </w:rPr>
      <w:t>WORKING DEVELOPMENT EDITION 1.0  /  29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0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b/>
      <w:bCs/>
      <w:color w:val="203B4C"/>
      <w:sz w:val="4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rial" w:hAnsi="Arial"/>
      <w:b/>
      <w:bCs/>
      <w:color w:val="285B6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40"/>
      <w:contextualSpacing/>
    </w:pPr>
    <w:rPr>
      <w:rFonts w:asciiTheme="majorHAnsi" w:eastAsiaTheme="majorEastAsia" w:hAnsiTheme="majorHAnsi" w:cstheme="majorBidi" w:ascii="Arial" w:hAnsi="Arial"/>
      <w:color w:val="203B4C"/>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40" w:after="80"/>
    </w:pPr>
    <w:rPr>
      <w:rFonts w:asciiTheme="majorHAnsi" w:eastAsiaTheme="majorEastAsia" w:hAnsiTheme="majorHAnsi" w:cstheme="majorBidi" w:ascii="Arial" w:hAnsi="Arial"/>
      <w:i/>
      <w:iCs/>
      <w:color w:val="42676B"/>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image" Target="media/image1.jpg"/><Relationship Id="rId12" Type="http://schemas.openxmlformats.org/officeDocument/2006/relationships/hyperlink" Target="https://auraofintelligence.github.io/installing-the-missing-middle/" TargetMode="External"/><Relationship Id="rId13" Type="http://schemas.openxmlformats.org/officeDocument/2006/relationships/hyperlink" Target="https://auraofintelligence.github.io/installing-the-missing-middle/sources.html#D01" TargetMode="External"/><Relationship Id="rId14" Type="http://schemas.openxmlformats.org/officeDocument/2006/relationships/hyperlink" Target="https://auraofintelligence.github.io/installing-the-missing-middle/sources.html#D09" TargetMode="External"/><Relationship Id="rId15" Type="http://schemas.openxmlformats.org/officeDocument/2006/relationships/hyperlink" Target="https://auraofintelligence.github.io/installing-the-missing-middle/sources.html#P01" TargetMode="External"/><Relationship Id="rId16" Type="http://schemas.openxmlformats.org/officeDocument/2006/relationships/hyperlink" Target="https://auraofintelligence.github.io/installing-the-missing-middle/sources.html#P02" TargetMode="External"/><Relationship Id="rId17" Type="http://schemas.openxmlformats.org/officeDocument/2006/relationships/hyperlink" Target="https://auraofintelligence.github.io/installing-the-missing-middle/sources.html#P03" TargetMode="External"/><Relationship Id="rId18" Type="http://schemas.openxmlformats.org/officeDocument/2006/relationships/hyperlink" Target="https://auraofintelligence.github.io/installing-the-missing-middle/sources.html#P04" TargetMode="External"/><Relationship Id="rId19" Type="http://schemas.openxmlformats.org/officeDocument/2006/relationships/hyperlink" Target="https://auraofintelligence.github.io/installing-the-missing-middle/sources.html#P05" TargetMode="External"/><Relationship Id="rId20" Type="http://schemas.openxmlformats.org/officeDocument/2006/relationships/hyperlink" Target="https://auraofintelligence.github.io/installing-the-missing-middle/sources.html#D11" TargetMode="External"/><Relationship Id="rId21" Type="http://schemas.openxmlformats.org/officeDocument/2006/relationships/hyperlink" Target="https://auraofintelligence.github.io/installing-the-missing-middle/sources.html#P10" TargetMode="External"/><Relationship Id="rId22" Type="http://schemas.openxmlformats.org/officeDocument/2006/relationships/hyperlink" Target="https://auraofintelligence.github.io/installing-the-missing-middle/sources.html#D05" TargetMode="External"/><Relationship Id="rId23" Type="http://schemas.openxmlformats.org/officeDocument/2006/relationships/hyperlink" Target="https://auraofintelligence.github.io/installing-the-missing-middle/sources.html#D13" TargetMode="External"/><Relationship Id="rId24" Type="http://schemas.openxmlformats.org/officeDocument/2006/relationships/hyperlink" Target="https://auraofintelligence.github.io/installing-the-missing-middle/sources.html#D03" TargetMode="External"/><Relationship Id="rId25" Type="http://schemas.openxmlformats.org/officeDocument/2006/relationships/hyperlink" Target="https://auraofintelligence.github.io/installing-the-missing-middle/sources.html#D04" TargetMode="External"/><Relationship Id="rId26" Type="http://schemas.openxmlformats.org/officeDocument/2006/relationships/hyperlink" Target="https://auraofintelligence.github.io/installing-the-missing-middle/sources.html#D06" TargetMode="External"/><Relationship Id="rId27" Type="http://schemas.openxmlformats.org/officeDocument/2006/relationships/hyperlink" Target="https://auraofintelligence.github.io/installing-the-missing-middle/sources.html#D07" TargetMode="External"/><Relationship Id="rId28" Type="http://schemas.openxmlformats.org/officeDocument/2006/relationships/hyperlink" Target="https://auraofintelligence.github.io/installing-the-missing-middle/sources.html#D14" TargetMode="External"/><Relationship Id="rId29" Type="http://schemas.openxmlformats.org/officeDocument/2006/relationships/hyperlink" Target="https://auraofintelligence.github.io/installing-the-missing-middle/sources.html#D10" TargetMode="External"/><Relationship Id="rId30" Type="http://schemas.openxmlformats.org/officeDocument/2006/relationships/hyperlink" Target="https://auraofintelligence.github.io/installing-the-missing-middle/sources.html#P09" TargetMode="External"/><Relationship Id="rId31" Type="http://schemas.openxmlformats.org/officeDocument/2006/relationships/hyperlink" Target="https://auraofintelligence.github.io/installing-the-missing-middle/sources.html#D08" TargetMode="External"/><Relationship Id="rId32" Type="http://schemas.openxmlformats.org/officeDocument/2006/relationships/hyperlink" Target="https://auraofintelligence.github.io/installing-the-missing-middle/sources.html#P06" TargetMode="External"/><Relationship Id="rId33" Type="http://schemas.openxmlformats.org/officeDocument/2006/relationships/hyperlink" Target="https://auraofintelligence.github.io/installing-the-missing-middle/sources.html#P07" TargetMode="External"/><Relationship Id="rId34" Type="http://schemas.openxmlformats.org/officeDocument/2006/relationships/hyperlink" Target="https://auraofintelligence.github.io/installing-the-missing-middle/sources.html#P08" TargetMode="External"/><Relationship Id="rId35" Type="http://schemas.openxmlformats.org/officeDocument/2006/relationships/hyperlink" Target="https://auraofintelligence.github.io/installing-the-missing-middle/sources.html#P11" TargetMode="External"/><Relationship Id="rId36" Type="http://schemas.openxmlformats.org/officeDocument/2006/relationships/hyperlink" Target="https://auraofintelligence.github.io/installing-the-missing-middle/sources.html#P12" TargetMode="External"/><Relationship Id="rId37" Type="http://schemas.openxmlformats.org/officeDocument/2006/relationships/hyperlink" Target="https://auraofintelligence.github.io/installing-the-missing-middle/sources.html#P13" TargetMode="External"/><Relationship Id="rId38" Type="http://schemas.openxmlformats.org/officeDocument/2006/relationships/hyperlink" Target="https://auraofintelligence.github.io/installing-the-missing-middle/sources.html#D02" TargetMode="External"/><Relationship Id="rId39" Type="http://schemas.openxmlformats.org/officeDocument/2006/relationships/hyperlink" Target="https://auraofintelligence.github.io/installing-the-missing-middle/sources.html#D12" TargetMode="External"/><Relationship Id="rId40" Type="http://schemas.openxmlformats.org/officeDocument/2006/relationships/hyperlink" Target="https://auraofintelligence.github.io/UNGA81-Luke-Hayes/" TargetMode="External"/><Relationship Id="rId41" Type="http://schemas.openxmlformats.org/officeDocument/2006/relationships/hyperlink" Target="https://auraofintelligence.github.io/ready-set-co-op-cultural-intelligence-node/index.html" TargetMode="External"/><Relationship Id="rId42" Type="http://schemas.openxmlformats.org/officeDocument/2006/relationships/hyperlink" Target="https://auraofintelligence.github.io/ready-set-co-op-trust-hub/" TargetMode="External"/><Relationship Id="rId43" Type="http://schemas.openxmlformats.org/officeDocument/2006/relationships/hyperlink" Target="https://auraofintelligence.github.io/500-Queens-VC-2026/" TargetMode="External"/><Relationship Id="rId44" Type="http://schemas.openxmlformats.org/officeDocument/2006/relationships/hyperlink" Target="https://auraofintelligence.github.io/mutual-futures/" TargetMode="External"/><Relationship Id="rId45" Type="http://schemas.openxmlformats.org/officeDocument/2006/relationships/hyperlink" Target="https://auraofintelligence.github.io/australian-law-2012-lukes-relevance/" TargetMode="External"/><Relationship Id="rId46" Type="http://schemas.openxmlformats.org/officeDocument/2006/relationships/hyperlink" Target="https://github.com/auraofintelligence/australian-legal-engine" TargetMode="External"/><Relationship Id="rId47" Type="http://schemas.openxmlformats.org/officeDocument/2006/relationships/hyperlink" Target="https://auraofintelligence.github.io/legal-memory-workbench/" TargetMode="External"/><Relationship Id="rId48" Type="http://schemas.openxmlformats.org/officeDocument/2006/relationships/hyperlink" Target="https://auraofintelligence.github.io/C-Hour-introduction/" TargetMode="External"/><Relationship Id="rId49" Type="http://schemas.openxmlformats.org/officeDocument/2006/relationships/hyperlink" Target="https://p4a.xyz/" TargetMode="External"/><Relationship Id="rId50" Type="http://schemas.openxmlformats.org/officeDocument/2006/relationships/hyperlink" Target="https://auraofintelligence.github.io/aura-genesis-geode-atlas/" TargetMode="External"/><Relationship Id="rId51" Type="http://schemas.openxmlformats.org/officeDocument/2006/relationships/hyperlink" Target="https://auraofintelligence.github.io/Oceania-healthy-de-slop-co-ops/" TargetMode="External"/><Relationship Id="rId52" Type="http://schemas.openxmlformats.org/officeDocument/2006/relationships/hyperlink" Target="https://github.com/auraofintelligence/Anglican-Diocese-82-Claytons-Amity" TargetMode="External"/><Relationship Id="rId53" Type="http://schemas.openxmlformats.org/officeDocument/2006/relationships/hyperlink" Target="https://github.com/auraofintelligence/installing-the-missing-middle" TargetMode="External"/><Relationship Id="rId54" Type="http://schemas.openxmlformats.org/officeDocument/2006/relationships/hyperlink" Target="https://auraofintelligence.github.io/installing-the-missing-middle/briefs/brad.md" TargetMode="External"/><Relationship Id="rId55" Type="http://schemas.openxmlformats.org/officeDocument/2006/relationships/hyperlink" Target="https://auraofintelligence.github.io/installing-the-missing-middle/briefs/megan.md" TargetMode="External"/><Relationship Id="rId56" Type="http://schemas.openxmlformats.org/officeDocument/2006/relationships/hyperlink" Target="https://auraofintelligence.github.io/installing-the-missing-middle/briefs/luke.md" TargetMode="External"/><Relationship Id="rId57" Type="http://schemas.openxmlformats.org/officeDocument/2006/relationships/hyperlink" Target="https://auraofintelligence.github.io/installing-the-missing-middle/AGENTS.md" TargetMode="External"/><Relationship Id="rId58" Type="http://schemas.openxmlformats.org/officeDocument/2006/relationships/hyperlink" Target="https://auraofintelligence.github.io/installing-the-missing-middle/briefs/current-direction.md" TargetMode="External"/><Relationship Id="rId59" Type="http://schemas.openxmlformats.org/officeDocument/2006/relationships/hyperlink" Target="https://auraofintelligence.github.io/installing-the-missing-middle/briefs/site-brief.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Installing the Missing Middle</dc:title>
  <dc:subject>Business plan for community compute, useful heat and co-operative ownership</dc:subject>
  <dc:creator>Luke Nathan Hayes</dc:creator>
  <cp:keywords>community compute; useful heat; Ready SET Co-op; federation; Megan; Brad</cp:keywords>
  <dc:description>generated by python-docx</dc:description>
  <cp:lastModifiedBy/>
  <cp:revision>1</cp:revision>
  <dcterms:created xsi:type="dcterms:W3CDTF">2013-12-23T23:15:00Z</dcterms:created>
  <dcterms:modified xsi:type="dcterms:W3CDTF">2013-12-23T23:15:00Z</dcterms:modified>
  <cp:category/>
</cp:coreProperties>
</file>