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header"/>
    <w:bookmarkEnd w:id="9"/>
    <w:bookmarkStart w:id="45" w:name="content"/>
    <w:bookmarkStart w:id="44" w:name="Xa295c56df2d595af46ba1e24d99bdb87054371b"/>
    <w:p>
      <w:pPr>
        <w:pStyle w:val="Heading1"/>
      </w:pPr>
      <w:r>
        <w:t xml:space="preserve">A Fair Go for the AI Age: Federated Sovereign Compute for Australian Communities</w:t>
      </w:r>
    </w:p>
    <w:p>
      <w:pPr>
        <w:pStyle w:val="FirstParagraph"/>
      </w:pPr>
      <w:r>
        <w:rPr>
          <w:i/>
          <w:iCs/>
        </w:rPr>
        <w:t xml:space="preserve">Deep-research brief for a proposed submission by Luke Nathan Hayes to the Senate inquiry into</w:t>
      </w:r>
      <w:r>
        <w:t xml:space="preserve"> </w:t>
      </w:r>
      <w:r>
        <w:rPr>
          <w:i/>
          <w:iCs/>
        </w:rPr>
        <w:t xml:space="preserve">Artificial intelligence and data centres, building on Local Government Funding and Fiscal Sustainability Submission #2 and the associated Aura of Intelligence, Strange but True, Ready SET, GAJRA Earth and Sovereign Space Builder concepts.</w:t>
      </w:r>
    </w:p>
    <w:bookmarkStart w:id="14" w:name="the-strongest-version-of-the-proposition"/>
    <w:p>
      <w:pPr>
        <w:pStyle w:val="Heading2"/>
      </w:pPr>
      <w:r>
        <w:t xml:space="preserve">The strongest version of the proposition</w:t>
      </w:r>
    </w:p>
    <w:p>
      <w:pPr>
        <w:pStyle w:val="FirstParagraph"/>
      </w:pPr>
      <w:r>
        <w:t xml:space="preserve">The central idea is stronger than “put a supercomputer in every postcode”. The defensible national-policy proposition is:</w:t>
      </w:r>
    </w:p>
    <w:p>
      <w:pPr>
        <w:pStyle w:val="BlockText"/>
      </w:pPr>
      <w:r>
        <w:rPr>
          <w:b/>
          <w:bCs/>
        </w:rPr>
        <w:t xml:space="preserve">Australia should deliberately build a federated AI infrastructure stack in which hyperscale data centres are complemented by sovereign national compute, state and regional capacity, place-based municipal or community compute, resilient neighbourhood edge nodes, and self-sovereign personal AI. Data, models and authority should move between those layers under explicit rules rather than defaulting everything upwards into a small number of corporate clouds.</w:t>
      </w:r>
    </w:p>
    <w:p>
      <w:pPr>
        <w:pStyle w:val="FirstParagraph"/>
      </w:pPr>
      <w:r>
        <w:t xml:space="preserve">That proposition is unusually well timed. The Albanese Government announced on 15 July 2026 that it intends to legislate</w:t>
      </w:r>
      <w:r>
        <w:t xml:space="preserve"> </w:t>
      </w:r>
      <w:r>
        <w:rPr>
          <w:b/>
          <w:bCs/>
        </w:rPr>
        <w:t xml:space="preserve">Australian Standards for AI</w:t>
      </w:r>
      <w:r>
        <w:t xml:space="preserve">, with “our values as the benchmark”, building on its Data Centre Expectations and expressly linking AI infrastructure to sovereignty, community benefit, energy and water. Meanwhile, the Senate Environment and Communications References Committee has an active inquiry into</w:t>
      </w:r>
      <w:r>
        <w:t xml:space="preserve"> </w:t>
      </w:r>
      <w:r>
        <w:rPr>
          <w:b/>
          <w:bCs/>
        </w:rPr>
        <w:t xml:space="preserve">Artificial intelligence and data centres</w:t>
      </w:r>
      <w:r>
        <w:t xml:space="preserve">, referred on 13 May 2026, examining regulation, government dealings with global AI companies, community impacts, energy, water and related matters. Submissions now close</w:t>
      </w:r>
      <w:r>
        <w:t xml:space="preserve"> </w:t>
      </w:r>
      <w:r>
        <w:rPr>
          <w:b/>
          <w:bCs/>
        </w:rPr>
        <w:t xml:space="preserve">1 September 2026</w:t>
      </w:r>
      <w:r>
        <w:t xml:space="preserve">.</w:t>
      </w:r>
      <w:r>
        <w:t xml:space="preserve"> </w:t>
      </w:r>
      <w:hyperlink r:id="rId10">
        <w:r>
          <w:rPr>
            <w:rStyle w:val="Hyperlink"/>
          </w:rPr>
          <w:t xml:space="preserve">[1]</w:t>
        </w:r>
      </w:hyperlink>
    </w:p>
    <w:p>
      <w:pPr>
        <w:pStyle w:val="BodyText"/>
      </w:pPr>
      <w:r>
        <w:t xml:space="preserve">So, as at 17 August 2026, “Albo’s new AI thingy” is really two overlapping opportunities. The Government is developing its Standards and has established an Office of AI, while the Senate inquiry provides the clearest immediate public channel for a detailed submission. The submission can therefore say:</w:t>
      </w:r>
      <w:r>
        <w:t xml:space="preserve"> </w:t>
      </w:r>
      <w:r>
        <w:rPr>
          <w:b/>
          <w:bCs/>
        </w:rPr>
        <w:t xml:space="preserve">the Government is right to establish rules for large AI infrastructure, but a genuinely Australian AI architecture also needs a distributed public-interest layer underneath the hyperscalers.</w:t>
      </w:r>
      <w:r>
        <w:t xml:space="preserve"> </w:t>
      </w:r>
      <w:hyperlink r:id="rId10">
        <w:r>
          <w:rPr>
            <w:rStyle w:val="Hyperlink"/>
          </w:rPr>
          <w:t xml:space="preserve">[1]</w:t>
        </w:r>
      </w:hyperlink>
    </w:p>
    <w:p>
      <w:pPr>
        <w:pStyle w:val="BodyText"/>
      </w:pPr>
      <w:r>
        <w:t xml:space="preserve">There is an especially useful hook in the Government's own policy. Its March 2026 Data Centre Expectations cover hyperscale, co-location and large AI “factory” developments, but</w:t>
      </w:r>
      <w:r>
        <w:t xml:space="preserve"> </w:t>
      </w:r>
      <w:r>
        <w:rPr>
          <w:b/>
          <w:bCs/>
        </w:rPr>
        <w:t xml:space="preserve">expressly do not apply to small-scale edge or on-site enterprise data centres</w:t>
      </w:r>
      <w:r>
        <w:t xml:space="preserve">. At the same time, large operators are expected to serve Australia's national interest, including national security and data sovereignty, deliver benefits to local communities, invest in skills and jobs, and strengthen research, innovation and local capability.</w:t>
      </w:r>
      <w:r>
        <w:t xml:space="preserve"> </w:t>
      </w:r>
      <w:hyperlink r:id="rId11">
        <w:r>
          <w:rPr>
            <w:rStyle w:val="Hyperlink"/>
          </w:rPr>
          <w:t xml:space="preserve">[2]</w:t>
        </w:r>
      </w:hyperlink>
    </w:p>
    <w:p>
      <w:pPr>
        <w:pStyle w:val="BodyText"/>
      </w:pPr>
      <w:r>
        <w:t xml:space="preserve">That leaves a conceptual gap almost exactly where your proposal sits:</w:t>
      </w:r>
    </w:p>
    <w:p>
      <w:pPr>
        <w:pStyle w:val="BodyText"/>
      </w:pPr>
      <w:r>
        <w:rPr>
          <w:b/>
          <w:bCs/>
        </w:rPr>
        <w:t xml:space="preserve">large national/hyperscale infrastructure → missing civic/place layer → neighbourhood edge → personal devices.</w:t>
      </w:r>
    </w:p>
    <w:p>
      <w:pPr>
        <w:pStyle w:val="BodyText"/>
      </w:pPr>
      <w:r>
        <w:t xml:space="preserve">Your existing Local Government Funding submission already contains much of the governance architecture needed to fill that gap. It proposes a sovereignty stack in which personal/home data sits at L0, voluntary neighbour meshes operate at L1 and councils obtain aggregate intelligence at L2 without automatically obtaining private L0 records. fileciteturn0file1 Your separate decentralised-compute paper extends that logic to personal devices, neighbourhood “disaster kiosks”, municipal rack-scale compute and large data centres. fileciteturn0file3 The Sovereign Space Builder specification similarly describes an offline-first architecture that scales from a sovereign personal node through community meshes to bioregional and planetary commons. fileciteturn0file8</w:t>
      </w:r>
    </w:p>
    <w:p>
      <w:pPr>
        <w:pStyle w:val="BodyText"/>
      </w:pPr>
      <w:r>
        <w:t xml:space="preserve">The submission should therefore</w:t>
      </w:r>
      <w:r>
        <w:t xml:space="preserve"> </w:t>
      </w:r>
      <w:r>
        <w:rPr>
          <w:b/>
          <w:bCs/>
        </w:rPr>
        <w:t xml:space="preserve">build upon Submission #2 rather than compete with it</w:t>
      </w:r>
      <w:r>
        <w:t xml:space="preserve">. The earlier argument was that local government suffers from an “incomplete ledger” and needs better tools for civic participation, local assets and community resilience. The AI submission can make the next step explicit:</w:t>
      </w:r>
      <w:r>
        <w:t xml:space="preserve"> </w:t>
      </w:r>
      <w:r>
        <w:rPr>
          <w:b/>
          <w:bCs/>
        </w:rPr>
        <w:t xml:space="preserve">the information infrastructure required to administer twenty-first-century communities should not itself become another unfunded mandate or externally controlled dependency of local government.</w:t>
      </w:r>
      <w:r>
        <w:t xml:space="preserve"> </w:t>
      </w:r>
      <w:r>
        <w:t xml:space="preserve">fileciteturn0file1</w:t>
      </w:r>
    </w:p>
    <w:p>
      <w:pPr>
        <w:pStyle w:val="BodyText"/>
      </w:pPr>
      <w:r>
        <w:t xml:space="preserve">The other important improvement is intellectual discipline. Your</w:t>
      </w:r>
      <w:r>
        <w:t xml:space="preserve"> </w:t>
      </w:r>
      <w:r>
        <w:rPr>
          <w:i/>
          <w:iCs/>
        </w:rPr>
        <w:t xml:space="preserve">Grain by Grain</w:t>
      </w:r>
      <w:r>
        <w:t xml:space="preserve"> </w:t>
      </w:r>
      <w:r>
        <w:t xml:space="preserve">public work already separates material into categories such as established, source-backed, modelled, disputed, speculative and “needs checking”. That is exactly the right approach for a parliamentary submission that ranges from highly practical compute infrastructure to much longer-range civilisational scenarios.</w:t>
      </w:r>
      <w:r>
        <w:t xml:space="preserve"> </w:t>
      </w:r>
      <w:hyperlink r:id="rId12">
        <w:r>
          <w:rPr>
            <w:rStyle w:val="Hyperlink"/>
          </w:rPr>
          <w:t xml:space="preserve">[3]</w:t>
        </w:r>
      </w:hyperlink>
    </w:p>
    <w:p>
      <w:pPr>
        <w:pStyle w:val="BodyText"/>
      </w:pPr>
      <w:r>
        <w:rPr>
          <w:b/>
          <w:bCs/>
        </w:rPr>
        <w:t xml:space="preserve">Project-status statement that should appear near the front of the submission:</w:t>
      </w:r>
      <w:r>
        <w:t xml:space="preserve"> </w:t>
      </w:r>
      <w:r>
        <w:t xml:space="preserve">the Minjerribah/Dunwich proposal remains a concept-stage, unfunded pilot. Ready SET Cooperative is not presently being represented as an incorporated or funded operating cooperative; 9 Ballow Road is a proposed pilot location rather than an approved data-centre development; no support or endorsement from the Quandamooka People, Redland City Council, Queensland Government or Commonwealth should be inferred; and the existing operating vehicle identified by the proponent is the Strange but True sole-trader activity. Your own public community ledger describes the work as an early voluntary public experiment, while the uploaded Ready SET planning material is predominantly prospective.</w:t>
      </w:r>
      <w:r>
        <w:t xml:space="preserve"> </w:t>
      </w:r>
      <w:hyperlink r:id="rId13">
        <w:r>
          <w:rPr>
            <w:rStyle w:val="Hyperlink"/>
          </w:rPr>
          <w:t xml:space="preserve">[4]</w:t>
        </w:r>
      </w:hyperlink>
      <w:r>
        <w:t xml:space="preserve"> </w:t>
      </w:r>
      <w:r>
        <w:t xml:space="preserve">fileciteturn0file5</w:t>
      </w:r>
    </w:p>
    <w:p>
      <w:pPr>
        <w:pStyle w:val="BodyText"/>
      </w:pPr>
      <w:r>
        <w:t xml:space="preserve">That honesty helps rather than hurts. The Senate does not need you to prove that you already own a GB300. It needs a good policy proposition worth testing.</w:t>
      </w:r>
    </w:p>
    <w:bookmarkEnd w:id="14"/>
    <w:bookmarkStart w:id="20" w:name="the-present-federal-policy-opening"/>
    <w:p>
      <w:pPr>
        <w:pStyle w:val="Heading2"/>
      </w:pPr>
      <w:r>
        <w:t xml:space="preserve">The present federal policy opening</w:t>
      </w:r>
    </w:p>
    <w:p>
      <w:pPr>
        <w:pStyle w:val="FirstParagraph"/>
      </w:pPr>
      <w:r>
        <w:t xml:space="preserve">The Government's emerging direction already contains most of the premises necessary for your argument. The National AI Plan is organised around capturing opportunities, spreading benefits and keeping Australians safe. It includes infrastructure and domestic capability, but also skills development through universities, schools, TAFEs, not-for-profits and community organisations.</w:t>
      </w:r>
      <w:r>
        <w:t xml:space="preserve"> </w:t>
      </w:r>
      <w:hyperlink r:id="rId15">
        <w:r>
          <w:rPr>
            <w:rStyle w:val="Hyperlink"/>
          </w:rPr>
          <w:t xml:space="preserve">[5]</w:t>
        </w:r>
      </w:hyperlink>
      <w:r>
        <w:t xml:space="preserve"> </w:t>
      </w:r>
      <w:r>
        <w:t xml:space="preserve">The Government has separately made up to one million subsidised AI microskill places available through a National AI Centre–TAFE NSW partnership, illustrating that broad-based AI literacy is already considered a national capability problem rather than merely an industry workforce problem.</w:t>
      </w:r>
      <w:r>
        <w:t xml:space="preserve"> </w:t>
      </w:r>
      <w:hyperlink r:id="rId16">
        <w:r>
          <w:rPr>
            <w:rStyle w:val="Hyperlink"/>
          </w:rPr>
          <w:t xml:space="preserve">[6]</w:t>
        </w:r>
      </w:hyperlink>
    </w:p>
    <w:p>
      <w:pPr>
        <w:pStyle w:val="BodyText"/>
      </w:pPr>
      <w:r>
        <w:t xml:space="preserve">At the large end of the stack, Australia is simultaneously welcoming enormous private investment. The Commonwealth welcomed the OpenAI–NEXTDC proposal for a roughly A$7 billion next-generation facility in Western Sydney in December 2025, and in April 2026 signed an AI collaboration memorandum with Anthropic under which future Australian operations are intended to align with the Government's Data Centre Expectations.</w:t>
      </w:r>
      <w:r>
        <w:t xml:space="preserve"> </w:t>
      </w:r>
      <w:hyperlink r:id="rId17">
        <w:r>
          <w:rPr>
            <w:rStyle w:val="Hyperlink"/>
          </w:rPr>
          <w:t xml:space="preserve">[7]</w:t>
        </w:r>
      </w:hyperlink>
    </w:p>
    <w:p>
      <w:pPr>
        <w:pStyle w:val="BodyText"/>
      </w:pPr>
      <w:r>
        <w:t xml:space="preserve">Your submission does not need to attack those investments. Doing so would unnecessarily turn an architecture argument into an ideological fight about foreign technology companies.</w:t>
      </w:r>
    </w:p>
    <w:p>
      <w:pPr>
        <w:pStyle w:val="BodyText"/>
      </w:pPr>
      <w:r>
        <w:t xml:space="preserve">A much stronger position is:</w:t>
      </w:r>
    </w:p>
    <w:p>
      <w:pPr>
        <w:pStyle w:val="BlockText"/>
      </w:pPr>
      <w:r>
        <w:rPr>
          <w:b/>
          <w:bCs/>
        </w:rPr>
        <w:t xml:space="preserve">Australia should welcome hyperscale investment without becoming hyperscale-dependent.</w:t>
      </w:r>
    </w:p>
    <w:p>
      <w:pPr>
        <w:pStyle w:val="FirstParagraph"/>
      </w:pPr>
      <w:r>
        <w:t xml:space="preserve">Sovereignty does not require autarky. It requires</w:t>
      </w:r>
      <w:r>
        <w:t xml:space="preserve"> </w:t>
      </w:r>
      <w:r>
        <w:rPr>
          <w:b/>
          <w:bCs/>
        </w:rPr>
        <w:t xml:space="preserve">credible alternatives and credible exit</w:t>
      </w:r>
      <w:r>
        <w:t xml:space="preserve">: the ability to retain critical datasets locally; to run important functions if an overseas provider, network link or commercial agreement fails; to move workloads between vendors; to inspect and substitute models where appropriate; to retain cryptographic control over high-value data; and to keep a domestic skills base capable of understanding the underlying stack.</w:t>
      </w:r>
    </w:p>
    <w:p>
      <w:pPr>
        <w:pStyle w:val="BodyText"/>
      </w:pPr>
      <w:r>
        <w:t xml:space="preserve">That fits the Government's own framing. Its Data Centre Expectations explicitly say AI infrastructure should contribute to Australia's national security and data sovereignty and to the Australian economy, people and local communities.</w:t>
      </w:r>
      <w:r>
        <w:t xml:space="preserve"> </w:t>
      </w:r>
      <w:hyperlink r:id="rId11">
        <w:r>
          <w:rPr>
            <w:rStyle w:val="Hyperlink"/>
          </w:rPr>
          <w:t xml:space="preserve">[8]</w:t>
        </w:r>
      </w:hyperlink>
      <w:r>
        <w:t xml:space="preserve"> </w:t>
      </w:r>
      <w:r>
        <w:t xml:space="preserve">Australia also signed the Pax Silica Declaration alongside the United States, Japan, the Republic of Korea, the United Kingdom, Singapore and Israel, committing to secure and resilient technology supply chains. The lesson for your proposal is not that Australia should disconnect internationally; it is that</w:t>
      </w:r>
      <w:r>
        <w:t xml:space="preserve"> </w:t>
      </w:r>
      <w:r>
        <w:rPr>
          <w:b/>
          <w:bCs/>
        </w:rPr>
        <w:t xml:space="preserve">interoperability and supply-chain diversity are themselves components of sovereignty</w:t>
      </w:r>
      <w:r>
        <w:t xml:space="preserve">.</w:t>
      </w:r>
      <w:r>
        <w:t xml:space="preserve"> </w:t>
      </w:r>
      <w:hyperlink r:id="rId18">
        <w:r>
          <w:rPr>
            <w:rStyle w:val="Hyperlink"/>
          </w:rPr>
          <w:t xml:space="preserve">[9]</w:t>
        </w:r>
      </w:hyperlink>
    </w:p>
    <w:p>
      <w:pPr>
        <w:pStyle w:val="BodyText"/>
      </w:pPr>
      <w:r>
        <w:t xml:space="preserve">The Government has also established an Australian AI Safety Institute to monitor and test emerging AI capabilities and provide government with expert advice as technology changes. That makes a distributed public compute proposal substantially more credible if its local nodes are described not as autonomous digital fiefdoms, but as participants in a</w:t>
      </w:r>
      <w:r>
        <w:t xml:space="preserve"> </w:t>
      </w:r>
      <w:r>
        <w:rPr>
          <w:b/>
          <w:bCs/>
        </w:rPr>
        <w:t xml:space="preserve">national safety and assurance fabric</w:t>
      </w:r>
      <w:r>
        <w:t xml:space="preserve">: nationally maintained security baselines, signed software and model registries, testing, vulnerability intelligence, incident reporting and model evaluation, combined with local custody and operational control where appropriate.</w:t>
      </w:r>
      <w:r>
        <w:t xml:space="preserve"> </w:t>
      </w:r>
      <w:hyperlink r:id="rId19">
        <w:r>
          <w:rPr>
            <w:rStyle w:val="Hyperlink"/>
          </w:rPr>
          <w:t xml:space="preserve">[10]</w:t>
        </w:r>
      </w:hyperlink>
    </w:p>
    <w:p>
      <w:pPr>
        <w:pStyle w:val="BodyText"/>
      </w:pPr>
      <w:r>
        <w:t xml:space="preserve">The link to local-government fiscal sustainability is particularly important. Your earlier submission proposed sovereign digital twins as a new operating system for local asset management and civic participation, with local data flowing selectively through L0–L2 governance. fileciteturn0file1 A federal AI policy can either leave councils to acquire these capabilities independently from whichever cloud vendor happens to win procurement, or treat</w:t>
      </w:r>
      <w:r>
        <w:t xml:space="preserve"> </w:t>
      </w:r>
      <w:r>
        <w:rPr>
          <w:b/>
          <w:bCs/>
        </w:rPr>
        <w:t xml:space="preserve">local AI capability as shared national infrastructure</w:t>
      </w:r>
      <w:r>
        <w:t xml:space="preserve">.</w:t>
      </w:r>
    </w:p>
    <w:p>
      <w:pPr>
        <w:pStyle w:val="BodyText"/>
      </w:pPr>
      <w:r>
        <w:t xml:space="preserve">The latter is the better fiscal proposition. Councils should not be told, “AI is essential; now buy your own cybersecurity team, GPUs, digital-twin software, model licences, emergency communications stack and data-governance system out of the rates base.” The Commonwealth should finance the national backbone and standards; states and territories should integrate energy, planning, education and emergency-management functions; local government should host and use place-based capacity; and First Nations governance should be funded as governance, not treated as free consultation.</w:t>
      </w:r>
    </w:p>
    <w:p>
      <w:pPr>
        <w:pStyle w:val="BodyText"/>
      </w:pPr>
      <w:r>
        <w:t xml:space="preserve">That turns the argument from “give my town a computer” into a far more consequential question for the Senate:</w:t>
      </w:r>
    </w:p>
    <w:p>
      <w:pPr>
        <w:pStyle w:val="BlockText"/>
      </w:pPr>
      <w:r>
        <w:rPr>
          <w:b/>
          <w:bCs/>
        </w:rPr>
        <w:t xml:space="preserve">What physical and institutional topology of AI leaves Australia most capable if market conditions, foreign policy, natural hazards, cyber incidents or technology vendors change unexpectedly?</w:t>
      </w:r>
    </w:p>
    <w:bookmarkEnd w:id="20"/>
    <w:bookmarkStart w:id="25" w:name="X7c19d1c208cef7a9ed953276a77c5a640303682"/>
    <w:p>
      <w:pPr>
        <w:pStyle w:val="Heading2"/>
      </w:pPr>
      <w:r>
        <w:t xml:space="preserve">From the local-government submission to a national sovereignty stack</w:t>
      </w:r>
    </w:p>
    <w:p>
      <w:pPr>
        <w:pStyle w:val="FirstParagraph"/>
      </w:pPr>
      <w:r>
        <w:t xml:space="preserve">The most important technical adjustment I would make to your terminology is to retain the intuitive idea of</w:t>
      </w:r>
      <w:r>
        <w:t xml:space="preserve"> </w:t>
      </w:r>
      <w:r>
        <w:rPr>
          <w:b/>
          <w:bCs/>
        </w:rPr>
        <w:t xml:space="preserve">postcode-scale locality</w:t>
      </w:r>
      <w:r>
        <w:t xml:space="preserve"> </w:t>
      </w:r>
      <w:r>
        <w:t xml:space="preserve">but not make Australia Post postcodes the formal governance primitive.</w:t>
      </w:r>
    </w:p>
    <w:p>
      <w:pPr>
        <w:pStyle w:val="BodyText"/>
      </w:pPr>
      <w:r>
        <w:t xml:space="preserve">The ABS is explicit that postcodes are designed for mail delivery, that authoritative postcode boundaries are not publicly available, and that postcodes are not recommended for geocoding or statistical analysis. ABS Postal Areas are approximations. In the previous ASGS edition there were 2,644 Postal Area codes, whereas the 2025 LGA geography recorded 567 LGAs, including 19 non-spatial special-purpose codes.</w:t>
      </w:r>
      <w:r>
        <w:t xml:space="preserve"> </w:t>
      </w:r>
      <w:hyperlink r:id="rId21">
        <w:r>
          <w:rPr>
            <w:rStyle w:val="Hyperlink"/>
          </w:rPr>
          <w:t xml:space="preserve">[11]</w:t>
        </w:r>
      </w:hyperlink>
    </w:p>
    <w:p>
      <w:pPr>
        <w:pStyle w:val="BodyText"/>
      </w:pPr>
      <w:r>
        <w:t xml:space="preserve">A better concept is a</w:t>
      </w:r>
      <w:r>
        <w:t xml:space="preserve"> </w:t>
      </w:r>
      <w:r>
        <w:rPr>
          <w:b/>
          <w:bCs/>
        </w:rPr>
        <w:t xml:space="preserve">Place Compute Region</w:t>
      </w:r>
      <w:r>
        <w:t xml:space="preserve">. A Place Compute Region could align, depending on geography and population, with an LGA, island, regional service centre, cluster of small councils, metropolitan subregion, remote community network, watershed or other administratively sensible service catchment. Postcodes can remain a useful human-facing discovery/addressing mechanism without pretending they define communities or Country.</w:t>
      </w:r>
    </w:p>
    <w:p>
      <w:pPr>
        <w:pStyle w:val="BodyText"/>
      </w:pPr>
      <w:r>
        <w:t xml:space="preserve">The architecture could be presented as follows: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Sovereignty domain</w:t>
            </w:r>
          </w:p>
        </w:tc>
        <w:tc>
          <w:tcPr/>
          <w:p>
            <w:pPr>
              <w:pStyle w:val="Compact"/>
            </w:pPr>
            <w:r>
              <w:t xml:space="preserve">Compute role</w:t>
            </w:r>
          </w:p>
        </w:tc>
        <w:tc>
          <w:tcPr/>
          <w:p>
            <w:pPr>
              <w:pStyle w:val="Compact"/>
            </w:pPr>
            <w:r>
              <w:t xml:space="preserve">Default data rule</w:t>
            </w:r>
          </w:p>
        </w:tc>
        <w:tc>
          <w:tcPr/>
          <w:p>
            <w:pPr>
              <w:pStyle w:val="Compact"/>
            </w:pPr>
            <w:r>
              <w:t xml:space="preserve">Principal governance role</w:t>
            </w:r>
          </w:p>
        </w:tc>
      </w:tr>
      <w:tr>
        <w:tc>
          <w:tcPr/>
          <w:p>
            <w:pPr>
              <w:pStyle w:val="Compact"/>
            </w:pPr>
            <w:r>
              <w:rPr>
                <w:b/>
                <w:bCs/>
              </w:rPr>
              <w:t xml:space="preserve">Personal / household</w:t>
            </w:r>
          </w:p>
        </w:tc>
        <w:tc>
          <w:tcPr/>
          <w:p>
            <w:pPr>
              <w:pStyle w:val="Compact"/>
            </w:pPr>
            <w:r>
              <w:t xml:space="preserve">Small local models, personal agents, health and ageing support research, private memory, home/IoT intelligence</w:t>
            </w:r>
          </w:p>
        </w:tc>
        <w:tc>
          <w:tcPr/>
          <w:p>
            <w:pPr>
              <w:pStyle w:val="Compact"/>
            </w:pPr>
            <w:r>
              <w:t xml:space="preserve">Local and encrypted by default; explicit purpose-specific sharing</w:t>
            </w:r>
          </w:p>
        </w:tc>
        <w:tc>
          <w:tcPr/>
          <w:p>
            <w:pPr>
              <w:pStyle w:val="Compact"/>
            </w:pPr>
            <w:r>
              <w:t xml:space="preserve">Individual or household</w:t>
            </w:r>
          </w:p>
        </w:tc>
      </w:tr>
      <w:tr>
        <w:tc>
          <w:tcPr/>
          <w:p>
            <w:pPr>
              <w:pStyle w:val="Compact"/>
            </w:pPr>
            <w:r>
              <w:rPr>
                <w:b/>
                <w:bCs/>
              </w:rPr>
              <w:t xml:space="preserve">Neighbourhood / community edge</w:t>
            </w:r>
          </w:p>
        </w:tc>
        <w:tc>
          <w:tcPr/>
          <w:p>
            <w:pPr>
              <w:pStyle w:val="Compact"/>
            </w:pPr>
            <w:r>
              <w:t xml:space="preserve">Small resilient models, cached public knowledge, mesh communications, school and maker experimentation, disaster kiosks</w:t>
            </w:r>
          </w:p>
        </w:tc>
        <w:tc>
          <w:tcPr/>
          <w:p>
            <w:pPr>
              <w:pStyle w:val="Compact"/>
            </w:pPr>
            <w:r>
              <w:t xml:space="preserve">Only explicitly shared information; local operation possible without WAN/cloud</w:t>
            </w:r>
          </w:p>
        </w:tc>
        <w:tc>
          <w:tcPr/>
          <w:p>
            <w:pPr>
              <w:pStyle w:val="Compact"/>
            </w:pPr>
            <w:r>
              <w:t xml:space="preserve">Community institutions, schools, libraries, cooperatives</w:t>
            </w:r>
          </w:p>
        </w:tc>
      </w:tr>
      <w:tr>
        <w:tc>
          <w:tcPr/>
          <w:p>
            <w:pPr>
              <w:pStyle w:val="Compact"/>
            </w:pPr>
            <w:r>
              <w:rPr>
                <w:b/>
                <w:bCs/>
              </w:rPr>
              <w:t xml:space="preserve">Place Compute Region</w:t>
            </w:r>
          </w:p>
        </w:tc>
        <w:tc>
          <w:tcPr/>
          <w:p>
            <w:pPr>
              <w:pStyle w:val="Compact"/>
            </w:pPr>
            <w:r>
              <w:t xml:space="preserve">Rack or cluster-scale inference, fine-tuning, digital twins, planning simulations, media production, local RAG systems and research</w:t>
            </w:r>
          </w:p>
        </w:tc>
        <w:tc>
          <w:tcPr/>
          <w:p>
            <w:pPr>
              <w:pStyle w:val="Compact"/>
            </w:pPr>
            <w:r>
              <w:t xml:space="preserve">Federated or aggregated access preferred over bulk personal-data collection</w:t>
            </w:r>
          </w:p>
        </w:tc>
        <w:tc>
          <w:tcPr/>
          <w:p>
            <w:pPr>
              <w:pStyle w:val="Compact"/>
            </w:pPr>
            <w:r>
              <w:t xml:space="preserve">Council/community operator with appropriate Indigenous governance</w:t>
            </w:r>
          </w:p>
        </w:tc>
      </w:tr>
      <w:tr>
        <w:tc>
          <w:tcPr/>
          <w:p>
            <w:pPr>
              <w:pStyle w:val="Compact"/>
            </w:pPr>
            <w:r>
              <w:rPr>
                <w:b/>
                <w:bCs/>
              </w:rPr>
              <w:t xml:space="preserve">State and national</w:t>
            </w:r>
          </w:p>
        </w:tc>
        <w:tc>
          <w:tcPr/>
          <w:p>
            <w:pPr>
              <w:pStyle w:val="Compact"/>
            </w:pPr>
            <w:r>
              <w:t xml:space="preserve">Expensive training, national models, safety evaluation, research supercomputing, threat intelligence, model registries and cross-region workloads</w:t>
            </w:r>
          </w:p>
        </w:tc>
        <w:tc>
          <w:tcPr/>
          <w:p>
            <w:pPr>
              <w:pStyle w:val="Compact"/>
            </w:pPr>
            <w:r>
              <w:t xml:space="preserve">Data-minimisation and purpose-based access; national aggregation only where lawful and necessary</w:t>
            </w:r>
          </w:p>
        </w:tc>
        <w:tc>
          <w:tcPr/>
          <w:p>
            <w:pPr>
              <w:pStyle w:val="Compact"/>
            </w:pPr>
            <w:r>
              <w:t xml:space="preserve">States, territories, Commonwealth, research institutions</w:t>
            </w:r>
          </w:p>
        </w:tc>
      </w:tr>
      <w:tr>
        <w:tc>
          <w:tcPr/>
          <w:p>
            <w:pPr>
              <w:pStyle w:val="Compact"/>
            </w:pPr>
            <w:r>
              <w:rPr>
                <w:b/>
                <w:bCs/>
              </w:rPr>
              <w:t xml:space="preserve">Oceania and global federation</w:t>
            </w:r>
          </w:p>
        </w:tc>
        <w:tc>
          <w:tcPr/>
          <w:p>
            <w:pPr>
              <w:pStyle w:val="Compact"/>
            </w:pPr>
            <w:r>
              <w:t xml:space="preserve">Cross-border research, disaster information, language systems, climate and scientific models, access to global frontier models</w:t>
            </w:r>
          </w:p>
        </w:tc>
        <w:tc>
          <w:tcPr/>
          <w:p>
            <w:pPr>
              <w:pStyle w:val="Compact"/>
            </w:pPr>
            <w:r>
              <w:t xml:space="preserve">Queries, models or derived results should move where possible instead of automatically centralising source data</w:t>
            </w:r>
          </w:p>
        </w:tc>
        <w:tc>
          <w:tcPr/>
          <w:p>
            <w:pPr>
              <w:pStyle w:val="Compact"/>
            </w:pPr>
            <w:r>
              <w:t xml:space="preserve">Opt-in agreements between jurisdictions, institutions and Indigenous Nations</w:t>
            </w:r>
          </w:p>
        </w:tc>
      </w:tr>
    </w:tbl>
    <w:p>
      <w:pPr>
        <w:pStyle w:val="BodyText"/>
      </w:pPr>
      <w:r>
        <w:rPr>
          <w:b/>
          <w:bCs/>
        </w:rPr>
        <w:t xml:space="preserve">First Nations sovereignty should not appear as a rung somewhere between “local” and “state”.</w:t>
      </w:r>
      <w:r>
        <w:t xml:space="preserve"> </w:t>
      </w:r>
      <w:r>
        <w:t xml:space="preserve">That would inadvertently reproduce the hierarchy the architecture is supposed to avoid. First Nations data governance is better represented as a</w:t>
      </w:r>
      <w:r>
        <w:t xml:space="preserve"> </w:t>
      </w:r>
      <w:r>
        <w:rPr>
          <w:b/>
          <w:bCs/>
        </w:rPr>
        <w:t xml:space="preserve">cross-cutting sovereignty plane</w:t>
      </w:r>
      <w:r>
        <w:t xml:space="preserve"> </w:t>
      </w:r>
      <w:r>
        <w:t xml:space="preserve">operating through every layer where data about people, Country, culture, language, heritage, traditional knowledge or community affairs is involved.</w:t>
      </w:r>
    </w:p>
    <w:p>
      <w:pPr>
        <w:pStyle w:val="BodyText"/>
      </w:pPr>
      <w:r>
        <w:t xml:space="preserve">There is unusually strong Commonwealth policy support for that approach. The APS Framework for Governance of Indigenous Data was co-designed with Aboriginal and Torres Strait Islander partners and is intended to increase First Nations agency over government-held Indigenous data throughout the data lifecycle. Government agencies are expected to develop implementation plans around partnership, capability building, knowledge of data assets and inclusive data systems.</w:t>
      </w:r>
      <w:r>
        <w:t xml:space="preserve"> </w:t>
      </w:r>
      <w:hyperlink r:id="rId22">
        <w:r>
          <w:rPr>
            <w:rStyle w:val="Hyperlink"/>
          </w:rPr>
          <w:t xml:space="preserve">[12]</w:t>
        </w:r>
      </w:hyperlink>
    </w:p>
    <w:p>
      <w:pPr>
        <w:pStyle w:val="BodyText"/>
      </w:pPr>
      <w:r>
        <w:t xml:space="preserve">Closing the Gap Priority Reform Four goes further, committing governments to locally relevant data access, regional data capability and practical change in relation to Indigenous Data Sovereignty and Indigenous Data Governance. It expressly contemplates Commonwealth, state, local and other entities working together to return useful information and data capability to communities.</w:t>
      </w:r>
      <w:r>
        <w:t xml:space="preserve"> </w:t>
      </w:r>
      <w:hyperlink r:id="rId23">
        <w:r>
          <w:rPr>
            <w:rStyle w:val="Hyperlink"/>
          </w:rPr>
          <w:t xml:space="preserve">[13]</w:t>
        </w:r>
      </w:hyperlink>
      <w:r>
        <w:t xml:space="preserve"> </w:t>
      </w:r>
      <w:r>
        <w:t xml:space="preserve">The NIAA's own 2026 AI transparency statement says its use of AI is guided by AI Ethics Principles and its Indigenous-data framework to strengthen community control and protect cultural rights.</w:t>
      </w:r>
      <w:r>
        <w:t xml:space="preserve"> </w:t>
      </w:r>
      <w:hyperlink r:id="rId24">
        <w:r>
          <w:rPr>
            <w:rStyle w:val="Hyperlink"/>
          </w:rPr>
          <w:t xml:space="preserve">[14]</w:t>
        </w:r>
      </w:hyperlink>
    </w:p>
    <w:p>
      <w:pPr>
        <w:pStyle w:val="BodyText"/>
      </w:pPr>
      <w:r>
        <w:t xml:space="preserve">That creates a far more powerful framing for your proposed Quandamooka component than simply asking Canberra for a “treaty at the data layer”.</w:t>
      </w:r>
    </w:p>
    <w:p>
      <w:pPr>
        <w:pStyle w:val="BodyText"/>
      </w:pPr>
      <w:r>
        <w:t xml:space="preserve">I would call for</w:t>
      </w:r>
      <w:r>
        <w:t xml:space="preserve"> </w:t>
      </w:r>
      <w:r>
        <w:rPr>
          <w:b/>
          <w:bCs/>
        </w:rPr>
        <w:t xml:space="preserve">First Nations Data Sovereignty Agreements or Digital Country Governance Compacts</w:t>
      </w:r>
      <w:r>
        <w:t xml:space="preserve">, negotiated with the relevant First Nations institutions and communities. Where those agreements interact with treaty, truth-telling, land-use, cultural heritage or other agreement-making processes, that relationship can be decided by the parties. The AI submission should</w:t>
      </w:r>
      <w:r>
        <w:t xml:space="preserve"> </w:t>
      </w:r>
      <w:r>
        <w:rPr>
          <w:b/>
          <w:bCs/>
        </w:rPr>
        <w:t xml:space="preserve">not purport to manufacture a legal treaty unilaterally</w:t>
      </w:r>
      <w:r>
        <w:t xml:space="preserve"> </w:t>
      </w:r>
      <w:r>
        <w:t xml:space="preserve">or imply that a local project can settle questions of sovereignty.</w:t>
      </w:r>
    </w:p>
    <w:p>
      <w:pPr>
        <w:pStyle w:val="BodyText"/>
      </w:pPr>
      <w:r>
        <w:t xml:space="preserve">On Minjerribah, the practical proposition is simpler and stronger:</w:t>
      </w:r>
    </w:p>
    <w:p>
      <w:pPr>
        <w:pStyle w:val="BlockText"/>
      </w:pPr>
      <w:r>
        <w:t xml:space="preserve">A digital twin of Minjerribah should not become a technical mechanism through which Indigenous knowledge, cultural information, imagery or place-based data is silently incorporated into a council, corporate or global AI corpus. Quandamooka-governed datasets and permissions should have governance rules capable of travelling with them.</w:t>
      </w:r>
    </w:p>
    <w:p>
      <w:pPr>
        <w:pStyle w:val="FirstParagraph"/>
      </w:pPr>
      <w:r>
        <w:t xml:space="preserve">Your uploaded Global Sensorium and Sovereign Space Builder work already contain useful technical primitives for this: local-first nodes, cryptographic identity and credentials, provenance, peer-to-peer synchronisation, tiered access, revocation and custodial treatment of culturally sensitive information. fileciteturn0file0 fileciteturn0file8</w:t>
      </w:r>
    </w:p>
    <w:p>
      <w:pPr>
        <w:pStyle w:val="BodyText"/>
      </w:pPr>
      <w:r>
        <w:t xml:space="preserve">The same architecture gives Australia a sensible model for Oceania. Australia should not build a “Pacific AI cloud” that simply relocates extraction from California to Sydney. A regional federation should allow Pacific countries, communities and Indigenous Nations to run locally governed models and datasets while selectively interoperating with Australian systems. Models, queries, credentials, derived statistics and simulations can cross boundaries according to agreement while culturally sensitive or nationally sensitive raw datasets remain under local jurisdiction.</w:t>
      </w:r>
    </w:p>
    <w:p>
      <w:pPr>
        <w:pStyle w:val="BodyText"/>
      </w:pPr>
      <w:r>
        <w:t xml:space="preserve">That is a genuinely different conception of AI sovereignty:</w:t>
      </w:r>
      <w:r>
        <w:t xml:space="preserve"> </w:t>
      </w:r>
      <w:r>
        <w:rPr>
          <w:b/>
          <w:bCs/>
        </w:rPr>
        <w:t xml:space="preserve">interdependence without compulsory surrender of custody</w:t>
      </w:r>
      <w:r>
        <w:t xml:space="preserve">.</w:t>
      </w:r>
    </w:p>
    <w:bookmarkEnd w:id="25"/>
    <w:bookmarkStart w:id="33" w:name="X349422c70c8e838d93a1d337f2094fdd46e396f"/>
    <w:p>
      <w:pPr>
        <w:pStyle w:val="Heading2"/>
      </w:pPr>
      <w:r>
        <w:t xml:space="preserve">Data sovereignty, consent, democratic values and open models</w:t>
      </w:r>
    </w:p>
    <w:p>
      <w:pPr>
        <w:pStyle w:val="FirstParagraph"/>
      </w:pPr>
      <w:r>
        <w:t xml:space="preserve">Your concern about terms and conditions is one of the strongest parts of the submission, but it can be converted into a much more concrete proposal than “people should choose their values”.</w:t>
      </w:r>
    </w:p>
    <w:p>
      <w:pPr>
        <w:pStyle w:val="BodyText"/>
      </w:pPr>
      <w:r>
        <w:t xml:space="preserve">Australia already has eight government AI Ethics Principles covering human, social and environmental wellbeing, human-centred values, fairness, privacy and security, reliability and safety, transparency and explainability, contestability and accountability.</w:t>
      </w:r>
      <w:r>
        <w:t xml:space="preserve"> </w:t>
      </w:r>
      <w:hyperlink r:id="rId26">
        <w:r>
          <w:rPr>
            <w:rStyle w:val="Hyperlink"/>
          </w:rPr>
          <w:t xml:space="preserve">[15]</w:t>
        </w:r>
      </w:hyperlink>
      <w:r>
        <w:t xml:space="preserve"> </w:t>
      </w:r>
      <w:r>
        <w:t xml:space="preserve">The Government has now said Australian values will benchmark the coming AI Standards.</w:t>
      </w:r>
      <w:r>
        <w:t xml:space="preserve"> </w:t>
      </w:r>
      <w:hyperlink r:id="rId27">
        <w:r>
          <w:rPr>
            <w:rStyle w:val="Hyperlink"/>
          </w:rPr>
          <w:t xml:space="preserve">[16]</w:t>
        </w:r>
      </w:hyperlink>
    </w:p>
    <w:p>
      <w:pPr>
        <w:pStyle w:val="BodyText"/>
      </w:pPr>
      <w:r>
        <w:t xml:space="preserve">The missing mechanism is</w:t>
      </w:r>
      <w:r>
        <w:t xml:space="preserve"> </w:t>
      </w:r>
      <w:r>
        <w:rPr>
          <w:b/>
          <w:bCs/>
        </w:rPr>
        <w:t xml:space="preserve">how citizens can actually perceive and exercise those principles during ordinary AI use</w:t>
      </w:r>
      <w:r>
        <w:t xml:space="preserve">.</w:t>
      </w:r>
    </w:p>
    <w:p>
      <w:pPr>
        <w:pStyle w:val="BodyText"/>
      </w:pPr>
      <w:r>
        <w:t xml:space="preserve">A credible proposal would be an</w:t>
      </w:r>
      <w:r>
        <w:t xml:space="preserve"> </w:t>
      </w:r>
      <w:r>
        <w:rPr>
          <w:b/>
          <w:bCs/>
        </w:rPr>
        <w:t xml:space="preserve">Australian AI Social Licence and Consent Standard</w:t>
      </w:r>
      <w:r>
        <w:t xml:space="preserve"> </w:t>
      </w:r>
      <w:r>
        <w:t xml:space="preserve">with three distinct levels.</w:t>
      </w:r>
    </w:p>
    <w:p>
      <w:pPr>
        <w:pStyle w:val="BodyText"/>
      </w:pPr>
      <w:r>
        <w:t xml:space="preserve">First comes a</w:t>
      </w:r>
      <w:r>
        <w:t xml:space="preserve"> </w:t>
      </w:r>
      <w:r>
        <w:rPr>
          <w:b/>
          <w:bCs/>
        </w:rPr>
        <w:t xml:space="preserve">non-negotiable legal and rights floor</w:t>
      </w:r>
      <w:r>
        <w:t xml:space="preserve">. People should not be able to “consent” through a 40-page contract to conduct that Australian law does not permit. Fundamental safety, privacy, anti-discrimination, consumer and other legal requirements are not preference toggles.</w:t>
      </w:r>
    </w:p>
    <w:p>
      <w:pPr>
        <w:pStyle w:val="BodyText"/>
      </w:pPr>
      <w:r>
        <w:t xml:space="preserve">Second comes a</w:t>
      </w:r>
      <w:r>
        <w:t xml:space="preserve"> </w:t>
      </w:r>
      <w:r>
        <w:rPr>
          <w:b/>
          <w:bCs/>
        </w:rPr>
        <w:t xml:space="preserve">democratic social-licence layer</w:t>
      </w:r>
      <w:r>
        <w:t xml:space="preserve">. At regular standards-review intervals, Australians could participate in properly designed surveys and deliberative processes examining what they expect AI to do, not do and disclose. Questions could include autonomy, human review, environmental cost, domestic data handling, commercial profiling, children, automated government decisions and acceptable uses of synthetic media.</w:t>
      </w:r>
    </w:p>
    <w:p>
      <w:pPr>
        <w:pStyle w:val="BodyText"/>
      </w:pPr>
      <w:r>
        <w:t xml:space="preserve">Your “past, present and future values” concept could fit extremely well here, provided it is treated as a pluralistic exercise rather than an attempt to discover a single correct Australian ideology. Your GAJRA Earth work already presents “Joyful Responsible Abundance” as an open question and direction of inquiry rather than a predetermined destination.</w:t>
      </w:r>
      <w:r>
        <w:t xml:space="preserve"> </w:t>
      </w:r>
      <w:hyperlink r:id="rId28">
        <w:r>
          <w:rPr>
            <w:rStyle w:val="Hyperlink"/>
          </w:rPr>
          <w:t xml:space="preserve">[17]</w:t>
        </w:r>
      </w:hyperlink>
    </w:p>
    <w:p>
      <w:pPr>
        <w:pStyle w:val="BodyText"/>
      </w:pPr>
      <w:r>
        <w:t xml:space="preserve">A government-backed civic exercise could therefore ask, in every major Australian language and accessible format:</w:t>
      </w:r>
    </w:p>
    <w:p>
      <w:pPr>
        <w:pStyle w:val="BlockText"/>
      </w:pPr>
      <w:r>
        <w:rPr>
          <w:b/>
          <w:bCs/>
        </w:rPr>
        <w:t xml:space="preserve">What values from our past should we preserve? What values should govern AI today? What values should we cultivate for the future? Why? What would joyful, responsible abundance mean for you, your family, community, Country or bioregion, state, nation and planet?</w:t>
      </w:r>
    </w:p>
    <w:p>
      <w:pPr>
        <w:pStyle w:val="FirstParagraph"/>
      </w:pPr>
      <w:r>
        <w:t xml:space="preserve">The reasons matter as much as the selected values. A useful democratic dataset would record competing definitions and their provenance, rather than collapsing society into a simplistic numerical “values score”.</w:t>
      </w:r>
    </w:p>
    <w:p>
      <w:pPr>
        <w:pStyle w:val="BodyText"/>
      </w:pPr>
      <w:r>
        <w:t xml:space="preserve">Third comes a</w:t>
      </w:r>
      <w:r>
        <w:t xml:space="preserve"> </w:t>
      </w:r>
      <w:r>
        <w:rPr>
          <w:b/>
          <w:bCs/>
        </w:rPr>
        <w:t xml:space="preserve">personal preference layer</w:t>
      </w:r>
      <w:r>
        <w:t xml:space="preserve">. Individuals could set granular preferences for different uses: whether a personal assistant may retain conversation memory; whether a health model may share selected observations with a clinician; whether data may leave Australia; whether it may be used for model training; how long information should be retained; whether automated recommendations require human confirmation; and which third parties may receive it.</w:t>
      </w:r>
    </w:p>
    <w:p>
      <w:pPr>
        <w:pStyle w:val="BodyText"/>
      </w:pPr>
      <w:r>
        <w:t xml:space="preserve">These preferences should be represented as portable machine-readable permissions rather than buried in service-specific terms and conditions.</w:t>
      </w:r>
    </w:p>
    <w:p>
      <w:pPr>
        <w:pStyle w:val="BodyText"/>
      </w:pPr>
      <w:r>
        <w:t xml:space="preserve">The Privacy Act creates an important technical constraint. OAIC guidance says consent needs to be informed and voluntary, and an individual can withdraw consent; once withdrawn, an organisation cannot rely on the previous consent for future use or disclosure.</w:t>
      </w:r>
      <w:r>
        <w:t xml:space="preserve"> </w:t>
      </w:r>
      <w:hyperlink r:id="rId29">
        <w:r>
          <w:rPr>
            <w:rStyle w:val="Hyperlink"/>
          </w:rPr>
          <w:t xml:space="preserve">[18]</w:t>
        </w:r>
      </w:hyperlink>
      <w:r>
        <w:t xml:space="preserve"> </w:t>
      </w:r>
      <w:r>
        <w:t xml:space="preserve">APP 11 also generally requires APP entities to take reasonable steps to destroy or de-identify personal information once they no longer need it for a permitted purpose, subject to exceptions such as Commonwealth records or legal retention requirements.</w:t>
      </w:r>
      <w:r>
        <w:t xml:space="preserve"> </w:t>
      </w:r>
      <w:hyperlink r:id="rId30">
        <w:r>
          <w:rPr>
            <w:rStyle w:val="Hyperlink"/>
          </w:rPr>
          <w:t xml:space="preserve">[19]</w:t>
        </w:r>
      </w:hyperlink>
      <w:r>
        <w:t xml:space="preserve"> </w:t>
      </w:r>
      <w:r>
        <w:t xml:space="preserve">New APP 1 transparency obligations for certain automated decisions that significantly affect people's rights or interests commence on 10 December 2026.</w:t>
      </w:r>
      <w:r>
        <w:t xml:space="preserve"> </w:t>
      </w:r>
      <w:hyperlink r:id="rId31">
        <w:r>
          <w:rPr>
            <w:rStyle w:val="Hyperlink"/>
          </w:rPr>
          <w:t xml:space="preserve">[20]</w:t>
        </w:r>
      </w:hyperlink>
    </w:p>
    <w:p>
      <w:pPr>
        <w:pStyle w:val="BodyText"/>
      </w:pPr>
      <w:r>
        <w:t xml:space="preserve">This produces an important refinement to your phrase</w:t>
      </w:r>
      <w:r>
        <w:t xml:space="preserve"> </w:t>
      </w:r>
      <w:r>
        <w:rPr>
          <w:b/>
          <w:bCs/>
        </w:rPr>
        <w:t xml:space="preserve">“revocable consent that does not destroy people's data”</w:t>
      </w:r>
      <w:r>
        <w:t xml:space="preserve">.</w:t>
      </w:r>
    </w:p>
    <w:p>
      <w:pPr>
        <w:pStyle w:val="BodyText"/>
      </w:pPr>
      <w:r>
        <w:t xml:space="preserve">The correct architecture is:</w:t>
      </w:r>
    </w:p>
    <w:p>
      <w:pPr>
        <w:pStyle w:val="BlockText"/>
      </w:pPr>
      <w:r>
        <w:rPr>
          <w:b/>
          <w:bCs/>
        </w:rPr>
        <w:t xml:space="preserve">Revoking somebody else's access does not have to destroy the person's own sovereign copy.</w:t>
      </w:r>
    </w:p>
    <w:p>
      <w:pPr>
        <w:pStyle w:val="FirstParagraph"/>
      </w:pPr>
      <w:r>
        <w:t xml:space="preserve">Alice can retain her own lifetime health, memory or digital-twin archive in her personal sovereign store. When she revokes Hospital X, Company Y or Community Node Z's permission, her master archive remains intact under her control. But that does</w:t>
      </w:r>
      <w:r>
        <w:t xml:space="preserve"> </w:t>
      </w:r>
      <w:r>
        <w:rPr>
          <w:b/>
          <w:bCs/>
        </w:rPr>
        <w:t xml:space="preserve">not</w:t>
      </w:r>
      <w:r>
        <w:t xml:space="preserve"> </w:t>
      </w:r>
      <w:r>
        <w:t xml:space="preserve">mean every recipient automatically obtains a perpetual right to retain its own copy. An APP entity may have destruction or de-identification duties when the information is no longer needed.</w:t>
      </w:r>
      <w:r>
        <w:t xml:space="preserve"> </w:t>
      </w:r>
      <w:hyperlink r:id="rId30">
        <w:r>
          <w:rPr>
            <w:rStyle w:val="Hyperlink"/>
          </w:rPr>
          <w:t xml:space="preserve">[21]</w:t>
        </w:r>
      </w:hyperlink>
    </w:p>
    <w:p>
      <w:pPr>
        <w:pStyle w:val="BodyText"/>
      </w:pPr>
      <w:r>
        <w:t xml:space="preserve">Technically, that argues for</w:t>
      </w:r>
      <w:r>
        <w:t xml:space="preserve"> </w:t>
      </w:r>
      <w:r>
        <w:rPr>
          <w:b/>
          <w:bCs/>
        </w:rPr>
        <w:t xml:space="preserve">revocable capability grants, consent receipts and audit logs</w:t>
      </w:r>
      <w:r>
        <w:t xml:space="preserve">, with sensitive source information off-chain. Public immutable blockchains should generally not contain raw personal or culturally sensitive information whose future use needs to be withdrawn. Where a distributed ledger is useful, put proofs, hashes, credentials, consent states or provenance records on it while the substantive data remains encrypted and separately governed.</w:t>
      </w:r>
    </w:p>
    <w:p>
      <w:pPr>
        <w:pStyle w:val="BodyText"/>
      </w:pPr>
      <w:r>
        <w:t xml:space="preserve">That also improves the “Web3 science space” component of your proposal. Government does not need to endorse a blockchain for everything. It can instead support an</w:t>
      </w:r>
      <w:r>
        <w:t xml:space="preserve"> </w:t>
      </w:r>
      <w:r>
        <w:rPr>
          <w:b/>
          <w:bCs/>
        </w:rPr>
        <w:t xml:space="preserve">open evidence and provenance layer</w:t>
      </w:r>
      <w:r>
        <w:t xml:space="preserve"> </w:t>
      </w:r>
      <w:r>
        <w:t xml:space="preserve">in which scientific datasets, models, simulations, hypotheses and digital-twin outputs carry persistent identifiers, authorship, timestamps, source citations, uncertainty and evidence status. Content-addressing, signed attestations, verifiable credentials and distributed ledgers can each be used where they provide a demonstrable benefit. Your Global Sensorium proposal already treats provenance, open debate, distributed models and explicit scientific uncertainty as foundational. fileciteturn0file0</w:t>
      </w:r>
    </w:p>
    <w:p>
      <w:pPr>
        <w:pStyle w:val="BodyText"/>
      </w:pPr>
      <w:r>
        <w:t xml:space="preserve">The same caution is necessary with “open-source AI”. Sovereignty should not become shorthand for downloading an unknown model from the internet and placing it inside council infrastructure. The Open Source Initiative's Open Source AI Definition distinguishes genuinely open systems—where people can use, study, modify and share—from products that merely publish model weights while withholding other elements needed to understand or modify the system.</w:t>
      </w:r>
      <w:r>
        <w:t xml:space="preserve"> </w:t>
      </w:r>
      <w:hyperlink r:id="rId32">
        <w:r>
          <w:rPr>
            <w:rStyle w:val="Hyperlink"/>
          </w:rPr>
          <w:t xml:space="preserve">[22]</w:t>
        </w:r>
      </w:hyperlink>
    </w:p>
    <w:p>
      <w:pPr>
        <w:pStyle w:val="BodyText"/>
      </w:pPr>
      <w:r>
        <w:t xml:space="preserve">For public infrastructure, the goal should therefore be</w:t>
      </w:r>
      <w:r>
        <w:t xml:space="preserve"> </w:t>
      </w:r>
      <w:r>
        <w:rPr>
          <w:b/>
          <w:bCs/>
        </w:rPr>
        <w:t xml:space="preserve">open, inspectable and replaceable components wherever practicable, combined with strict security assurance</w:t>
      </w:r>
      <w:r>
        <w:t xml:space="preserve">. Open code can improve auditability; it does not magically make a system secure.</w:t>
      </w:r>
    </w:p>
    <w:p>
      <w:pPr>
        <w:pStyle w:val="BodyText"/>
      </w:pPr>
      <w:r>
        <w:t xml:space="preserve">The submission can make this principle memorable:</w:t>
      </w:r>
    </w:p>
    <w:p>
      <w:pPr>
        <w:pStyle w:val="BlockText"/>
      </w:pPr>
      <w:r>
        <w:rPr>
          <w:b/>
          <w:bCs/>
        </w:rPr>
        <w:t xml:space="preserve">Sovereignty is not “Australian-made everything”. Sovereignty is knowing what the system is doing, knowing where the data is, retaining meaningful control, and having another option when a supplier or model no longer serves Australian interests.</w:t>
      </w:r>
    </w:p>
    <w:bookmarkEnd w:id="33"/>
    <w:bookmarkStart w:id="35" w:name="X4d3d2f1d97e99006b94c6074dbaf93d9e8d7970"/>
    <w:p>
      <w:pPr>
        <w:pStyle w:val="Heading2"/>
      </w:pPr>
      <w:r>
        <w:t xml:space="preserve">A Dunwich–Minjerribah pilot that can survive scrutiny</w:t>
      </w:r>
    </w:p>
    <w:p>
      <w:pPr>
        <w:pStyle w:val="FirstParagraph"/>
      </w:pPr>
      <w:r>
        <w:t xml:space="preserve">The proposed pilot is most credible as a</w:t>
      </w:r>
      <w:r>
        <w:t xml:space="preserve"> </w:t>
      </w:r>
      <w:r>
        <w:rPr>
          <w:b/>
          <w:bCs/>
        </w:rPr>
        <w:t xml:space="preserve">staged place-based research, skills and resilience demonstrator</w:t>
      </w:r>
      <w:r>
        <w:t xml:space="preserve">, not as an immediate request for Canberra to deliver a GB300 rack to 9 Ballow Road next Tuesday arvo.</w:t>
      </w:r>
    </w:p>
    <w:p>
      <w:pPr>
        <w:pStyle w:val="BodyText"/>
      </w:pPr>
      <w:r>
        <w:t xml:space="preserve">The current concept should be described approximately as:</w:t>
      </w:r>
    </w:p>
    <w:p>
      <w:pPr>
        <w:pStyle w:val="BodyText"/>
      </w:pPr>
      <w:r>
        <w:rPr>
          <w:b/>
          <w:bCs/>
        </w:rPr>
        <w:t xml:space="preserve">Proposed location:</w:t>
      </w:r>
      <w:r>
        <w:t xml:space="preserve"> </w:t>
      </w:r>
      <w:r>
        <w:t xml:space="preserve">9 Ballow Road, Dunwich/Goompi, Minjerribah, subject to site, landowner, planning, electrical, cooling, telecommunications, physical-security, insurance and other approvals.</w:t>
      </w:r>
    </w:p>
    <w:p>
      <w:pPr>
        <w:pStyle w:val="BodyText"/>
      </w:pPr>
      <w:r>
        <w:rPr>
          <w:b/>
          <w:bCs/>
        </w:rPr>
        <w:t xml:space="preserve">Proposed community vehicle:</w:t>
      </w:r>
      <w:r>
        <w:t xml:space="preserve"> </w:t>
      </w:r>
      <w:r>
        <w:t xml:space="preserve">Ready SET Cooperative — presently a concept to explore Sustainable Employment and Training through a cooperative structure, not an assertion that a registered, funded operating cooperative already exists. Your earlier planning document used “Straddie Employment and Training Company”, so the final submission should deliberately standardise the name and explain that evolution rather than leaving different documents to appear contradictory. fileciteturn0file5</w:t>
      </w:r>
    </w:p>
    <w:p>
      <w:pPr>
        <w:pStyle w:val="BodyText"/>
      </w:pPr>
      <w:r>
        <w:rPr>
          <w:b/>
          <w:bCs/>
        </w:rPr>
        <w:t xml:space="preserve">Proposed Indigenous governance:</w:t>
      </w:r>
      <w:r>
        <w:t xml:space="preserve"> </w:t>
      </w:r>
      <w:r>
        <w:t xml:space="preserve">to be designed only through genuine engagement with relevant Quandamooka institutions and community members. The submission must not imply that the Quandamooka People have approved the proposal.</w:t>
      </w:r>
    </w:p>
    <w:p>
      <w:pPr>
        <w:pStyle w:val="BodyText"/>
      </w:pPr>
      <w:r>
        <w:rPr>
          <w:b/>
          <w:bCs/>
        </w:rPr>
        <w:t xml:space="preserve">Proposed Commonwealth ask:</w:t>
      </w:r>
      <w:r>
        <w:t xml:space="preserve"> </w:t>
      </w:r>
      <w:r>
        <w:t xml:space="preserve">fund a feasibility and demonstrator pathway toward a</w:t>
      </w:r>
      <w:r>
        <w:t xml:space="preserve"> </w:t>
      </w:r>
      <w:r>
        <w:rPr>
          <w:b/>
          <w:bCs/>
        </w:rPr>
        <w:t xml:space="preserve">rack-class sovereign Place Compute Node</w:t>
      </w:r>
      <w:r>
        <w:t xml:space="preserve">, with hardware selected competitively at procurement time rather than legislating a particular American chip vendor into the architecture.</w:t>
      </w:r>
    </w:p>
    <w:p>
      <w:pPr>
        <w:pStyle w:val="BodyText"/>
      </w:pPr>
      <w:r>
        <w:t xml:space="preserve">That pathway should have four gates.</w:t>
      </w:r>
    </w:p>
    <w:p>
      <w:pPr>
        <w:pStyle w:val="BodyText"/>
      </w:pPr>
      <w:r>
        <w:t xml:space="preserve">The first is</w:t>
      </w:r>
      <w:r>
        <w:t xml:space="preserve"> </w:t>
      </w:r>
      <w:r>
        <w:rPr>
          <w:b/>
          <w:bCs/>
        </w:rPr>
        <w:t xml:space="preserve">co-design and feasibility</w:t>
      </w:r>
      <w:r>
        <w:t xml:space="preserve">. Before buying GPUs, test electrical capacity, network connectivity, clean-energy options, backup power, heat rejection, liquid cooling, physical security, noise, climate and disaster exposure, staffing, operating costs and cyber risk. At the same time, undertake structured local-community and Quandamooka engagement, establish data-governance principles and identify actual users.</w:t>
      </w:r>
    </w:p>
    <w:p>
      <w:pPr>
        <w:pStyle w:val="BodyText"/>
      </w:pPr>
      <w:r>
        <w:t xml:space="preserve">The second is a</w:t>
      </w:r>
      <w:r>
        <w:t xml:space="preserve"> </w:t>
      </w:r>
      <w:r>
        <w:rPr>
          <w:b/>
          <w:bCs/>
        </w:rPr>
        <w:t xml:space="preserve">smaller community-edge demonstrator</w:t>
      </w:r>
      <w:r>
        <w:t xml:space="preserve">. Establish local model inference, secure storage, school/maker development machines, open-data digital-twin services and several low-power emergency-information nodes. Demonstrate that useful local intelligence still functions after deliberately disconnecting the external internet. This proves the architecture before adding a six-figure-watt rack.</w:t>
      </w:r>
    </w:p>
    <w:p>
      <w:pPr>
        <w:pStyle w:val="BodyText"/>
      </w:pPr>
      <w:r>
        <w:t xml:space="preserve">The third is the</w:t>
      </w:r>
      <w:r>
        <w:t xml:space="preserve"> </w:t>
      </w:r>
      <w:r>
        <w:rPr>
          <w:b/>
          <w:bCs/>
        </w:rPr>
        <w:t xml:space="preserve">rack-class Place Compute Node</w:t>
      </w:r>
      <w:r>
        <w:t xml:space="preserve"> </w:t>
      </w:r>
      <w:r>
        <w:t xml:space="preserve">once power, cooling, utilisation and governance justify it. Current NVIDIA GB200 NVL72 architecture connects 72 Blackwell GPUs and 36 Grace CPUs, and NVIDIA's systems documentation puts a full GB200 NVL72 rack at about</w:t>
      </w:r>
      <w:r>
        <w:t xml:space="preserve"> </w:t>
      </w:r>
      <w:r>
        <w:rPr>
          <w:b/>
          <w:bCs/>
        </w:rPr>
        <w:t xml:space="preserve">120 kW at full load</w:t>
      </w:r>
      <w:r>
        <w:t xml:space="preserve">, including rack components. It is a serious piece of liquid-cooled infrastructure, not merely an unusually powerful desktop computer.</w:t>
      </w:r>
      <w:r>
        <w:t xml:space="preserve"> </w:t>
      </w:r>
      <w:hyperlink r:id="rId34">
        <w:r>
          <w:rPr>
            <w:rStyle w:val="Hyperlink"/>
          </w:rPr>
          <w:t xml:space="preserve">[23]</w:t>
        </w:r>
      </w:hyperlink>
      <w:r>
        <w:t xml:space="preserve"> </w:t>
      </w:r>
      <w:r>
        <w:t xml:space="preserve">By the time an Australian procurement occurs, NVIDIA, AMD and potentially other architectures should be compared on open standards, cost, support, energy, cooling, supply-chain security and workload performance rather than on today's brand prestige.</w:t>
      </w:r>
    </w:p>
    <w:p>
      <w:pPr>
        <w:pStyle w:val="BodyText"/>
      </w:pPr>
      <w:r>
        <w:t xml:space="preserve">The fourth is</w:t>
      </w:r>
      <w:r>
        <w:t xml:space="preserve"> </w:t>
      </w:r>
      <w:r>
        <w:rPr>
          <w:b/>
          <w:bCs/>
        </w:rPr>
        <w:t xml:space="preserve">federation and replication</w:t>
      </w:r>
      <w:r>
        <w:t xml:space="preserve">. Once the pilot has measurable results, compare it with urban, regional, remote, First Nations-led and disaster-prone locations. That evidence can determine whether the next topology should be one large rack per LGA, shared regional clusters, multiple smaller edge nodes, or some mixture.</w:t>
      </w:r>
    </w:p>
    <w:p>
      <w:pPr>
        <w:pStyle w:val="BodyText"/>
      </w:pPr>
      <w:r>
        <w:t xml:space="preserve">This also resolves one weakness in the “school students can see and touch a supercomputer” pitch. A production liquid-cooled rack with significant electrical and cyber-security requirements is not something Year 10 students should literally poke around inside while it is live. The educational benefit comes from making the infrastructure</w:t>
      </w:r>
      <w:r>
        <w:t xml:space="preserve"> </w:t>
      </w:r>
      <w:r>
        <w:rPr>
          <w:b/>
          <w:bCs/>
        </w:rPr>
        <w:t xml:space="preserve">visible and accessible through a teaching layer</w:t>
      </w:r>
      <w:r>
        <w:t xml:space="preserve">: instrument its energy and thermal performance; provide isolated sandbox GPUs; expose safe development APIs; run school competitions; let students deploy local models; teach networking, cybersecurity and robotics; and give university, TAFE, school, citizen-science and small-business users a genuine path from laptop to local cluster to national compute.</w:t>
      </w:r>
    </w:p>
    <w:p>
      <w:pPr>
        <w:pStyle w:val="BodyText"/>
      </w:pPr>
      <w:r>
        <w:t xml:space="preserve">The applications you have proposed are unusually well suited to such a pilot because many do not require creating a new global-scale foundation model. They include local-language and cultural tools, tourism experiences, film and virtual production, game development, planning visualisation, biodiversity and environmental work, local legal or regulatory retrieval systems, educational simulation, infrastructure modelling, small-business AI, emergency preparedness and—subject to relevant Games authorities—2032 Games logistics and volunteer-force simulations. These are plausible</w:t>
      </w:r>
      <w:r>
        <w:t xml:space="preserve"> </w:t>
      </w:r>
      <w:r>
        <w:rPr>
          <w:b/>
          <w:bCs/>
        </w:rPr>
        <w:t xml:space="preserve">experimental workloads</w:t>
      </w:r>
      <w:r>
        <w:t xml:space="preserve">, not claims that those services already exist or have official customers.</w:t>
      </w:r>
    </w:p>
    <w:p>
      <w:pPr>
        <w:pStyle w:val="BodyText"/>
      </w:pPr>
      <w:r>
        <w:t xml:space="preserve">Your Sovereign Space Builder work already contains a conceptual toolkit for exactly this kind of demonstration: environmental and human digital twins, offline-first operation, shock scenarios, missions, education, robotics, data provenance and fractal governance. fileciteturn0file8 The Local Government submission provides the civic layer: public-asset management, neighbourhood aggregation and a council-level digital twin. fileciteturn0file1</w:t>
      </w:r>
    </w:p>
    <w:p>
      <w:pPr>
        <w:pStyle w:val="BodyText"/>
      </w:pPr>
      <w:r>
        <w:t xml:space="preserve">The emergency-management architecture does, however, need one important reversal from the intuitive story.</w:t>
      </w:r>
      <w:r>
        <w:t xml:space="preserve"> </w:t>
      </w:r>
      <w:r>
        <w:rPr>
          <w:b/>
          <w:bCs/>
        </w:rPr>
        <w:t xml:space="preserve">The 120 kW rack should not be the last machine standing in the cyclone.</w:t>
      </w:r>
      <w:r>
        <w:t xml:space="preserve"> </w:t>
      </w:r>
      <w:r>
        <w:t xml:space="preserve">A rack that needs major electrical and cooling infrastructure is one of the harder systems to sustain during prolonged disruption. Its strongest resilience roles are heavy pre-event simulation, training and coordination while infrastructure is available.</w:t>
      </w:r>
    </w:p>
    <w:p>
      <w:pPr>
        <w:pStyle w:val="BodyText"/>
      </w:pPr>
      <w:r>
        <w:t xml:space="preserve">The survival layer should instead be small hardened community nodes containing cached maps, emergency information, local models and basic communications, backed by batteries, local generation and multiple communications paths. The local rack can rejoin as conditions allow. In other words:</w:t>
      </w:r>
      <w:r>
        <w:t xml:space="preserve"> </w:t>
      </w:r>
      <w:r>
        <w:rPr>
          <w:b/>
          <w:bCs/>
        </w:rPr>
        <w:t xml:space="preserve">central intelligence should degrade gracefully towards smaller local intelligence rather than fail from the top down.</w:t>
      </w:r>
    </w:p>
    <w:p>
      <w:pPr>
        <w:pStyle w:val="BodyText"/>
      </w:pPr>
      <w:r>
        <w:t xml:space="preserve">Your proposed C-Hour can remain in the pilot, but I would deliberately narrow its role for this submission. Treat it initially as a</w:t>
      </w:r>
      <w:r>
        <w:t xml:space="preserve"> </w:t>
      </w:r>
      <w:r>
        <w:rPr>
          <w:b/>
          <w:bCs/>
        </w:rPr>
        <w:t xml:space="preserve">voluntary contribution-recognition research stream</w:t>
      </w:r>
      <w:r>
        <w:t xml:space="preserve">: a transparent record of hours contributed to mapping, citizen science, preparedness, mentoring, ecological stewardship or community events. It should not be represented as a substitute for wages, a settled new asset class, or a mechanism whose Australian legal treatment is already resolved. The larger economic concept belongs in the continuation of your local-government funding work. fileciteturn0file1</w:t>
      </w:r>
    </w:p>
    <w:p>
      <w:pPr>
        <w:pStyle w:val="BodyText"/>
      </w:pPr>
      <w:r>
        <w:t xml:space="preserve">I would also</w:t>
      </w:r>
      <w:r>
        <w:t xml:space="preserve"> </w:t>
      </w:r>
      <w:r>
        <w:rPr>
          <w:b/>
          <w:bCs/>
        </w:rPr>
        <w:t xml:space="preserve">separate the sauna/HBOT/longevity proposal from the core AI and data-centre argument</w:t>
      </w:r>
      <w:r>
        <w:t xml:space="preserve">. Whether particular health services eventually form part of a community cooperative is a separate clinical, regulatory, insurance and evidence question. Presenting speculative health outcomes as a benefit of the compute proposal would give a Senate committee an easy reason to discount a much stronger infrastructure argument. For this submission, personal health AI is better framed around privacy-preserving records, care coordination, ageing, dementia-support research and user-controlled digital memory—without claiming therapeutic efficacy.</w:t>
      </w:r>
    </w:p>
    <w:p>
      <w:pPr>
        <w:pStyle w:val="BodyText"/>
      </w:pPr>
      <w:r>
        <w:t xml:space="preserve">That is not shrinking the vision. It is keeping the first domino easy to knock over.</w:t>
      </w:r>
    </w:p>
    <w:bookmarkEnd w:id="35"/>
    <w:bookmarkStart w:id="41" w:name="Xaa126b4e1eeef255d6f43997451679b95216e81"/>
    <w:p>
      <w:pPr>
        <w:pStyle w:val="Heading2"/>
      </w:pPr>
      <w:r>
        <w:t xml:space="preserve">Feasibility, cost, resilience and the claims that need tightening</w:t>
      </w:r>
    </w:p>
    <w:p>
      <w:pPr>
        <w:pStyle w:val="FirstParagraph"/>
      </w:pPr>
      <w:r>
        <w:t xml:space="preserve">A decentralised architecture is not automatically cheaper, greener or more secure than a centralised one. It exchanges one set of risks for another.</w:t>
      </w:r>
    </w:p>
    <w:p>
      <w:pPr>
        <w:pStyle w:val="BodyText"/>
      </w:pPr>
      <w:r>
        <w:t xml:space="preserve">Centralisation can create concentration, vendor, connectivity and jurisdictional dependencies. Distribution reduces some of those dependencies but creates many more physical sites to patch, secure, cool, power and maintain. That means your strongest submission is for a</w:t>
      </w:r>
      <w:r>
        <w:t xml:space="preserve"> </w:t>
      </w:r>
      <w:r>
        <w:rPr>
          <w:b/>
          <w:bCs/>
        </w:rPr>
        <w:t xml:space="preserve">balanced topology</w:t>
      </w:r>
      <w:r>
        <w:t xml:space="preserve">, not “cloud bad, edge good”.</w:t>
      </w:r>
    </w:p>
    <w:p>
      <w:pPr>
        <w:pStyle w:val="BodyText"/>
      </w:pPr>
      <w:r>
        <w:t xml:space="preserve">A GB200-class 120 kW rack at continuous full load would consume about</w:t>
      </w:r>
      <w:r>
        <w:t xml:space="preserve"> </w:t>
      </w:r>
      <w:r>
        <w:rPr>
          <w:b/>
          <w:bCs/>
        </w:rPr>
        <w:t xml:space="preserve">1.05 GWh of electricity a year before counting the rest of the facility overhead</w:t>
      </w:r>
      <w:r>
        <w:t xml:space="preserve">. That figure alone makes a staged, utilisation-driven deployment preferable to mechanically ordering the same rack for every community. The Government's emerging standards already recognise energy-grid, connection-cost and water implications as central conditions for large AI infrastructure.</w:t>
      </w:r>
      <w:r>
        <w:t xml:space="preserve"> </w:t>
      </w:r>
      <w:hyperlink r:id="rId27">
        <w:r>
          <w:rPr>
            <w:rStyle w:val="Hyperlink"/>
          </w:rPr>
          <w:t xml:space="preserve">[24]</w:t>
        </w:r>
      </w:hyperlink>
    </w:p>
    <w:p>
      <w:pPr>
        <w:pStyle w:val="BodyText"/>
      </w:pPr>
      <w:r>
        <w:t xml:space="preserve">Your</w:t>
      </w:r>
      <w:r>
        <w:t xml:space="preserve"> </w:t>
      </w:r>
      <w:r>
        <w:rPr>
          <w:b/>
          <w:bCs/>
        </w:rPr>
        <w:t xml:space="preserve">A$6 million per node</w:t>
      </w:r>
      <w:r>
        <w:t xml:space="preserve"> </w:t>
      </w:r>
      <w:r>
        <w:t xml:space="preserve">should likewise be labelled an</w:t>
      </w:r>
      <w:r>
        <w:t xml:space="preserve"> </w:t>
      </w:r>
      <w:r>
        <w:rPr>
          <w:b/>
          <w:bCs/>
        </w:rPr>
        <w:t xml:space="preserve">illustrative planning envelope</w:t>
      </w:r>
      <w:r>
        <w:t xml:space="preserve">, not a verified NVIDIA, AMD or systems-integrator quotation. A defensible cost model must eventually include compute hardware, networking, power conversion, cooling, building works, UPS/battery systems, security, telecommunications, software, maintenance, staffing, replacement cycles and decommissioning.</w:t>
      </w:r>
    </w:p>
    <w:p>
      <w:pPr>
        <w:pStyle w:val="BodyText"/>
      </w:pPr>
      <w:r>
        <w:t xml:space="preserve">The scale arithmetic is nevertheless illuminating: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Illustrative topology</w:t>
            </w:r>
          </w:p>
        </w:tc>
        <w:tc>
          <w:tcPr/>
          <w:p>
            <w:pPr>
              <w:pStyle w:val="Compact"/>
              <w:jc w:val="right"/>
            </w:pPr>
            <w:r>
              <w:t xml:space="preserve">Node count used</w:t>
            </w:r>
          </w:p>
        </w:tc>
        <w:tc>
          <w:tcPr/>
          <w:p>
            <w:pPr>
              <w:pStyle w:val="Compact"/>
              <w:jc w:val="right"/>
            </w:pPr>
            <w:r>
              <w:t xml:space="preserve">Capital at your A$6m assumption</w:t>
            </w:r>
          </w:p>
        </w:tc>
        <w:tc>
          <w:tcPr/>
          <w:p>
            <w:pPr>
              <w:pStyle w:val="Compact"/>
              <w:jc w:val="right"/>
            </w:pPr>
            <w:r>
              <w:t xml:space="preserve">Full-load rack IT demand at 120 kW each</w:t>
            </w:r>
          </w:p>
        </w:tc>
        <w:tc>
          <w:tcPr/>
          <w:p>
            <w:pPr>
              <w:pStyle w:val="Compact"/>
            </w:pPr>
            <w:r>
              <w:t xml:space="preserve">Interpretation</w:t>
            </w:r>
          </w:p>
        </w:tc>
      </w:tr>
      <w:tr>
        <w:tc>
          <w:tcPr/>
          <w:p>
            <w:pPr>
              <w:pStyle w:val="Compact"/>
            </w:pPr>
            <w:r>
              <w:t xml:space="preserve">ABS LGA reference scale</w:t>
            </w:r>
          </w:p>
        </w:tc>
        <w:tc>
          <w:tcPr/>
          <w:p>
            <w:pPr>
              <w:pStyle w:val="Compact"/>
              <w:jc w:val="right"/>
            </w:pPr>
            <w:r>
              <w:t xml:space="preserve">567</w:t>
            </w:r>
          </w:p>
        </w:tc>
        <w:tc>
          <w:tcPr/>
          <w:p>
            <w:pPr>
              <w:pStyle w:val="Compact"/>
              <w:jc w:val="right"/>
            </w:pPr>
            <w:r>
              <w:rPr>
                <w:b/>
                <w:bCs/>
              </w:rPr>
              <w:t xml:space="preserve">A$3.402b</w:t>
            </w:r>
          </w:p>
        </w:tc>
        <w:tc>
          <w:tcPr/>
          <w:p>
            <w:pPr>
              <w:pStyle w:val="Compact"/>
              <w:jc w:val="right"/>
            </w:pPr>
            <w:r>
              <w:t xml:space="preserve">68.0 MW</w:t>
            </w:r>
          </w:p>
        </w:tc>
        <w:tc>
          <w:tcPr/>
          <w:p>
            <w:pPr>
              <w:pStyle w:val="Compact"/>
            </w:pPr>
            <w:r>
              <w:t xml:space="preserve">Statistical upper-bound comparison only; the ABS figure includes 19 non-spatial codes</w:t>
            </w:r>
          </w:p>
        </w:tc>
      </w:tr>
      <w:tr>
        <w:tc>
          <w:tcPr/>
          <w:p>
            <w:pPr>
              <w:pStyle w:val="Compact"/>
            </w:pPr>
            <w:r>
              <w:t xml:space="preserve">ABS Postal Area reference scale</w:t>
            </w:r>
          </w:p>
        </w:tc>
        <w:tc>
          <w:tcPr/>
          <w:p>
            <w:pPr>
              <w:pStyle w:val="Compact"/>
              <w:jc w:val="right"/>
            </w:pPr>
            <w:r>
              <w:t xml:space="preserve">2,644</w:t>
            </w:r>
          </w:p>
        </w:tc>
        <w:tc>
          <w:tcPr/>
          <w:p>
            <w:pPr>
              <w:pStyle w:val="Compact"/>
              <w:jc w:val="right"/>
            </w:pPr>
            <w:r>
              <w:rPr>
                <w:b/>
                <w:bCs/>
              </w:rPr>
              <w:t xml:space="preserve">A$15.864b</w:t>
            </w:r>
          </w:p>
        </w:tc>
        <w:tc>
          <w:tcPr/>
          <w:p>
            <w:pPr>
              <w:pStyle w:val="Compact"/>
              <w:jc w:val="right"/>
            </w:pPr>
            <w:r>
              <w:t xml:space="preserve">317.3 MW</w:t>
            </w:r>
          </w:p>
        </w:tc>
        <w:tc>
          <w:tcPr/>
          <w:p>
            <w:pPr>
              <w:pStyle w:val="Compact"/>
            </w:pPr>
            <w:r>
              <w:t xml:space="preserve">Demonstrates why literal postcode deployment is unlikely to be the optimal topology</w:t>
            </w:r>
          </w:p>
        </w:tc>
      </w:tr>
      <w:tr>
        <w:tc>
          <w:tcPr/>
          <w:p>
            <w:pPr>
              <w:pStyle w:val="Compact"/>
            </w:pPr>
            <w:r>
              <w:t xml:space="preserve">Your global thought experiment</w:t>
            </w:r>
          </w:p>
        </w:tc>
        <w:tc>
          <w:tcPr/>
          <w:p>
            <w:pPr>
              <w:pStyle w:val="Compact"/>
              <w:jc w:val="right"/>
            </w:pPr>
            <w:r>
              <w:t xml:space="preserve">44,000</w:t>
            </w:r>
          </w:p>
        </w:tc>
        <w:tc>
          <w:tcPr/>
          <w:p>
            <w:pPr>
              <w:pStyle w:val="Compact"/>
              <w:jc w:val="right"/>
            </w:pPr>
            <w:r>
              <w:rPr>
                <w:b/>
                <w:bCs/>
              </w:rPr>
              <w:t xml:space="preserve">A$264b</w:t>
            </w:r>
          </w:p>
        </w:tc>
        <w:tc>
          <w:tcPr/>
          <w:p>
            <w:pPr>
              <w:pStyle w:val="Compact"/>
              <w:jc w:val="right"/>
            </w:pPr>
            <w:r>
              <w:t xml:space="preserve">5.28 GW</w:t>
            </w:r>
          </w:p>
        </w:tc>
        <w:tc>
          <w:tcPr/>
          <w:p>
            <w:pPr>
              <w:pStyle w:val="Compact"/>
            </w:pPr>
            <w:r>
              <w:t xml:space="preserve">Vision scenario, not a verified global city count or procurement plan</w:t>
            </w:r>
          </w:p>
        </w:tc>
      </w:tr>
    </w:tbl>
    <w:p>
      <w:pPr>
        <w:pStyle w:val="BodyText"/>
      </w:pPr>
      <w:r>
        <w:t xml:space="preserve">The ABS geographic counts provide the Australian reference points; the 120 kW input is NVIDIA's published full-load figure.</w:t>
      </w:r>
      <w:r>
        <w:t xml:space="preserve"> </w:t>
      </w:r>
      <w:hyperlink r:id="rId36">
        <w:r>
          <w:rPr>
            <w:rStyle w:val="Hyperlink"/>
          </w:rPr>
          <w:t xml:space="preserve">[25]</w:t>
        </w:r>
      </w:hyperlink>
    </w:p>
    <w:p>
      <w:pPr>
        <w:pStyle w:val="BodyText"/>
      </w:pPr>
      <w:r>
        <w:t xml:space="preserve">That table actually strengthens the pitch for a</w:t>
      </w:r>
      <w:r>
        <w:t xml:space="preserve"> </w:t>
      </w:r>
      <w:r>
        <w:rPr>
          <w:b/>
          <w:bCs/>
        </w:rPr>
        <w:t xml:space="preserve">fractal architecture</w:t>
      </w:r>
      <w:r>
        <w:t xml:space="preserve">. Australia does not need to choose between five giant data centres and 2,644 identical supercomputer racks. It can use a sparse hierarchy: very large national systems; state and regional systems; perhaps hundreds rather than thousands of higher-powered place nodes over time; and thousands of much smaller edge systems.</w:t>
      </w:r>
    </w:p>
    <w:p>
      <w:pPr>
        <w:pStyle w:val="BodyText"/>
      </w:pPr>
      <w:r>
        <w:t xml:space="preserve">I would be especially careful with the</w:t>
      </w:r>
      <w:r>
        <w:t xml:space="preserve"> </w:t>
      </w:r>
      <w:r>
        <w:rPr>
          <w:b/>
          <w:bCs/>
        </w:rPr>
        <w:t xml:space="preserve">44,000 towns and cities with populations above 9,000</w:t>
      </w:r>
      <w:r>
        <w:t xml:space="preserve"> </w:t>
      </w:r>
      <w:r>
        <w:t xml:space="preserve">figure. I have not found a sufficiently authoritative and reproducible global source during this research to recommend lodging that number as an established fact. Definitions of “city”, “town” and urban settlement vary substantially between countries. Keep it explicitly as</w:t>
      </w:r>
      <w:r>
        <w:t xml:space="preserve"> </w:t>
      </w:r>
      <w:r>
        <w:rPr>
          <w:b/>
          <w:bCs/>
        </w:rPr>
        <w:t xml:space="preserve">“an illustrative 44,000-community thought experiment”</w:t>
      </w:r>
      <w:r>
        <w:t xml:space="preserve"> </w:t>
      </w:r>
      <w:r>
        <w:t xml:space="preserve">until a reproducible dataset and methodology are attached.</w:t>
      </w:r>
    </w:p>
    <w:p>
      <w:pPr>
        <w:pStyle w:val="BodyText"/>
      </w:pPr>
      <w:r>
        <w:t xml:space="preserve">The AUKUS comparison also needs one sentence of intellectual honesty. A$264 billion is indeed close to and slightly below the low end of the often-cited</w:t>
      </w:r>
      <w:r>
        <w:t xml:space="preserve"> </w:t>
      </w:r>
      <w:r>
        <w:rPr>
          <w:b/>
          <w:bCs/>
        </w:rPr>
        <w:t xml:space="preserve">A$268–368 billion</w:t>
      </w:r>
      <w:r>
        <w:t xml:space="preserve"> </w:t>
      </w:r>
      <w:r>
        <w:t xml:space="preserve">lifetime estimate for Australia's nuclear-powered submarine program.</w:t>
      </w:r>
      <w:r>
        <w:t xml:space="preserve"> </w:t>
      </w:r>
      <w:hyperlink r:id="rId37">
        <w:r>
          <w:rPr>
            <w:rStyle w:val="Hyperlink"/>
          </w:rPr>
          <w:t xml:space="preserve">[26]</w:t>
        </w:r>
      </w:hyperlink>
      <w:r>
        <w:t xml:space="preserve"> </w:t>
      </w:r>
      <w:r>
        <w:t xml:space="preserve">But the figures are not comparable accounting exercises: your A$264 billion is a simple node-capital assumption, whereas the submarine figure spans a multi-decade capability program and associated costs. The strongest phrasing is therefore:</w:t>
      </w:r>
    </w:p>
    <w:p>
      <w:pPr>
        <w:pStyle w:val="BlockText"/>
      </w:pPr>
      <w:r>
        <w:rPr>
          <w:b/>
          <w:bCs/>
        </w:rPr>
        <w:t xml:space="preserve">“For perspective, an illustrative A$264 billion global civic-compute scenario is of roughly the same national-scale order as Australia's headline multi-decade nuclear-submarine expenditure. This is not a like-for-like cost comparison; it illustrates the scale of resources humanity is capable of mobilising for long-term security.”</w:t>
      </w:r>
    </w:p>
    <w:p>
      <w:pPr>
        <w:pStyle w:val="FirstParagraph"/>
      </w:pPr>
      <w:r>
        <w:t xml:space="preserve">I would</w:t>
      </w:r>
      <w:r>
        <w:t xml:space="preserve"> </w:t>
      </w:r>
      <w:r>
        <w:rPr>
          <w:b/>
          <w:bCs/>
        </w:rPr>
        <w:t xml:space="preserve">not</w:t>
      </w:r>
      <w:r>
        <w:t xml:space="preserve"> </w:t>
      </w:r>
      <w:r>
        <w:t xml:space="preserve">write that distributed compute “would create more peace than nuclear submarines ever could” as a factual conclusion. That is an inspiring political belief but not something the submission can substantiate. Turn it into a policy question:</w:t>
      </w:r>
      <w:r>
        <w:t xml:space="preserve"> </w:t>
      </w:r>
      <w:r>
        <w:rPr>
          <w:i/>
          <w:iCs/>
        </w:rPr>
        <w:t xml:space="preserve">What proportion of national-security investment should be devoted to positive-sum capabilities—education, scientific cooperation, disaster resilience, civic capacity and trusted communications—alongside conventional deterrence?</w:t>
      </w:r>
    </w:p>
    <w:p>
      <w:pPr>
        <w:pStyle w:val="BodyText"/>
      </w:pPr>
      <w:r>
        <w:t xml:space="preserve">Internationally, the evidence supports a federated approach but not yet the proposition that every town needs a frontier rack. The United States' National AI Research Resource pilot federates computational, model, data and training resources rather than requiring every participating institution to own a frontier system. The UK's AI Research Resource concentrates very high-end public compute in major facilities while providing access to researchers and businesses. EuroHPC's emerging</w:t>
      </w:r>
      <w:r>
        <w:t xml:space="preserve"> </w:t>
      </w:r>
      <w:r>
        <w:rPr>
          <w:b/>
          <w:bCs/>
        </w:rPr>
        <w:t xml:space="preserve">AI Factory and AI Factory Antenna</w:t>
      </w:r>
      <w:r>
        <w:t xml:space="preserve"> </w:t>
      </w:r>
      <w:r>
        <w:t xml:space="preserve">model is perhaps the closest structural analogue to your idea: high-end central facilities are complemented by distributed “antenna” access points and local capability rather than simply cloning the entire supercomputer everywhere.</w:t>
      </w:r>
      <w:r>
        <w:t xml:space="preserve"> </w:t>
      </w:r>
      <w:hyperlink r:id="rId38">
        <w:r>
          <w:rPr>
            <w:rStyle w:val="Hyperlink"/>
          </w:rPr>
          <w:t xml:space="preserve">[27]</w:t>
        </w:r>
      </w:hyperlink>
    </w:p>
    <w:p>
      <w:pPr>
        <w:pStyle w:val="BodyText"/>
      </w:pPr>
      <w:r>
        <w:t xml:space="preserve">Australia could improve on those models in one distinctive way: make</w:t>
      </w:r>
      <w:r>
        <w:t xml:space="preserve"> </w:t>
      </w:r>
      <w:r>
        <w:rPr>
          <w:b/>
          <w:bCs/>
        </w:rPr>
        <w:t xml:space="preserve">place sovereignty, Indigenous Data Governance, offline resilience and public education deliberate architectural requirements</w:t>
      </w:r>
      <w:r>
        <w:t xml:space="preserve"> </w:t>
      </w:r>
      <w:r>
        <w:t xml:space="preserve">rather than secondary benefits.</w:t>
      </w:r>
    </w:p>
    <w:p>
      <w:pPr>
        <w:pStyle w:val="BodyText"/>
      </w:pPr>
      <w:r>
        <w:t xml:space="preserve">Your SpaceX argument should also be updated carefully. The exact claim that</w:t>
      </w:r>
      <w:r>
        <w:t xml:space="preserve"> </w:t>
      </w:r>
      <w:r>
        <w:rPr>
          <w:b/>
          <w:bCs/>
        </w:rPr>
        <w:t xml:space="preserve">1,000 V3 Starlink satellites will be in orbit by Q2 2027</w:t>
      </w:r>
      <w:r>
        <w:t xml:space="preserve"> </w:t>
      </w:r>
      <w:r>
        <w:t xml:space="preserve">should not go into the submission unless it is attached to a primary, date-specific SpaceX source; I did not verify that exact milestone. SpaceX has, however, publicly described much higher-capacity Starlink V3 technology and an orbital AI-compute direction, including plans for AI satellites and eventual very large space-based compute capacity. Its Starmind material describes a satellite design with substantial onboard compute and an ambition for thousands of AI satellites beginning as early as late 2027. Those remain a company's announced roadmap, not deployed national infrastructure.</w:t>
      </w:r>
      <w:r>
        <w:t xml:space="preserve"> </w:t>
      </w:r>
      <w:hyperlink r:id="rId39">
        <w:r>
          <w:rPr>
            <w:rStyle w:val="Hyperlink"/>
          </w:rPr>
          <w:t xml:space="preserve">[28]</w:t>
        </w:r>
      </w:hyperlink>
    </w:p>
    <w:p>
      <w:pPr>
        <w:pStyle w:val="BodyText"/>
      </w:pPr>
      <w:r>
        <w:t xml:space="preserve">The policy conclusion survives perfectly well without betting on Elon Musk's calendar:</w:t>
      </w:r>
    </w:p>
    <w:p>
      <w:pPr>
        <w:pStyle w:val="BlockText"/>
      </w:pPr>
      <w:r>
        <w:rPr>
          <w:b/>
          <w:bCs/>
        </w:rPr>
        <w:t xml:space="preserve">Australian standards should be architecture-neutral and periodically revisited because the boundary between device, edge, terrestrial data centre and orbital compute is likely to keep moving.</w:t>
      </w:r>
    </w:p>
    <w:p>
      <w:pPr>
        <w:pStyle w:val="FirstParagraph"/>
      </w:pPr>
      <w:r>
        <w:t xml:space="preserve">Similarly, I would not assert that civilisation is certain to face disruption from particular “celestial cycles” or fringe astronomical mechanisms. There is a much stronger policy formulation:</w:t>
      </w:r>
      <w:r>
        <w:t xml:space="preserve"> </w:t>
      </w:r>
      <w:r>
        <w:rPr>
          <w:b/>
          <w:bCs/>
        </w:rPr>
        <w:t xml:space="preserve">Australia's civic digital-twin infrastructure should support all-hazards simulation, including ordinary frequent events and very-low-probability/high-consequence scenarios, while tagging the empirical status and uncertainty of each model.</w:t>
      </w:r>
      <w:r>
        <w:t xml:space="preserve"> </w:t>
      </w:r>
      <w:r>
        <w:t xml:space="preserve">Your own</w:t>
      </w:r>
      <w:r>
        <w:t xml:space="preserve"> </w:t>
      </w:r>
      <w:r>
        <w:rPr>
          <w:i/>
          <w:iCs/>
        </w:rPr>
        <w:t xml:space="preserve">Grain by Grain</w:t>
      </w:r>
      <w:r>
        <w:t xml:space="preserve"> </w:t>
      </w:r>
      <w:r>
        <w:t xml:space="preserve">framework's separation between established, disputed, speculative and story-level claims is exactly the epistemic hygiene required.</w:t>
      </w:r>
      <w:r>
        <w:t xml:space="preserve"> </w:t>
      </w:r>
      <w:hyperlink r:id="rId12">
        <w:r>
          <w:rPr>
            <w:rStyle w:val="Hyperlink"/>
          </w:rPr>
          <w:t xml:space="preserve">[3]</w:t>
        </w:r>
      </w:hyperlink>
    </w:p>
    <w:p>
      <w:pPr>
        <w:pStyle w:val="BodyText"/>
      </w:pPr>
      <w:r>
        <w:t xml:space="preserve">That approach also opens a second parliamentary pathway. A separate Joint Committee inquiry into</w:t>
      </w:r>
      <w:r>
        <w:t xml:space="preserve"> </w:t>
      </w:r>
      <w:r>
        <w:rPr>
          <w:b/>
          <w:bCs/>
        </w:rPr>
        <w:t xml:space="preserve">Australia's national civil preparedness and resilience</w:t>
      </w:r>
      <w:r>
        <w:t xml:space="preserve"> </w:t>
      </w:r>
      <w:r>
        <w:t xml:space="preserve">is currently accepting submissions until 6 November 2026. The AI/data-centres submission should make the infrastructure case now; a later submission to the preparedness inquiry can develop the offline mesh, civil-defence simulation, community volunteering and catastrophic-risk aspects without overcrowding the AI paper.</w:t>
      </w:r>
      <w:r>
        <w:t xml:space="preserve"> </w:t>
      </w:r>
      <w:hyperlink r:id="rId40">
        <w:r>
          <w:rPr>
            <w:rStyle w:val="Hyperlink"/>
          </w:rPr>
          <w:t xml:space="preserve">[29]</w:t>
        </w:r>
      </w:hyperlink>
    </w:p>
    <w:bookmarkEnd w:id="41"/>
    <w:bookmarkStart w:id="43" w:name="recommended-submission-position"/>
    <w:p>
      <w:pPr>
        <w:pStyle w:val="Heading2"/>
      </w:pPr>
      <w:r>
        <w:t xml:space="preserve">Recommended submission position</w:t>
      </w:r>
    </w:p>
    <w:p>
      <w:pPr>
        <w:pStyle w:val="FirstParagraph"/>
      </w:pPr>
      <w:r>
        <w:t xml:space="preserve">The formal recommendations can be made ambitious without pretending that the implementation details are settled.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Proposed recommendation</w:t>
            </w:r>
          </w:p>
        </w:tc>
        <w:tc>
          <w:tcPr/>
          <w:p>
            <w:pPr>
              <w:pStyle w:val="Compact"/>
            </w:pPr>
            <w:r>
              <w:t xml:space="preserve">Substance</w:t>
            </w:r>
          </w:p>
        </w:tc>
      </w:tr>
      <w:tr>
        <w:tc>
          <w:tcPr/>
          <w:p>
            <w:pPr>
              <w:pStyle w:val="Compact"/>
            </w:pPr>
            <w:r>
              <w:rPr>
                <w:b/>
                <w:bCs/>
              </w:rPr>
              <w:t xml:space="preserve">Establish an Australian Federated Civic AI Network</w:t>
            </w:r>
          </w:p>
        </w:tc>
        <w:tc>
          <w:tcPr/>
          <w:p>
            <w:pPr>
              <w:pStyle w:val="Compact"/>
            </w:pPr>
            <w:r>
              <w:t xml:space="preserve">Commonwealth policy should explicitly recognise personal, edge, place, state/national and international compute as complementary layers rather than treating hyperscale data centres as the whole AI infrastructure strategy.</w:t>
            </w:r>
          </w:p>
        </w:tc>
      </w:tr>
      <w:tr>
        <w:tc>
          <w:tcPr/>
          <w:p>
            <w:pPr>
              <w:pStyle w:val="Compact"/>
            </w:pPr>
            <w:r>
              <w:rPr>
                <w:b/>
                <w:bCs/>
              </w:rPr>
              <w:t xml:space="preserve">Fund place-based sovereign-compute pilots</w:t>
            </w:r>
          </w:p>
        </w:tc>
        <w:tc>
          <w:tcPr/>
          <w:p>
            <w:pPr>
              <w:pStyle w:val="Compact"/>
            </w:pPr>
            <w:r>
              <w:t xml:space="preserve">Establish a competitive national pilot across diverse metropolitan, regional, remote, island and First Nations contexts. Dunwich/Goompi on Minjerribah should be proposed as one candidate, not assumed to have been selected.</w:t>
            </w:r>
          </w:p>
        </w:tc>
      </w:tr>
      <w:tr>
        <w:tc>
          <w:tcPr/>
          <w:p>
            <w:pPr>
              <w:pStyle w:val="Compact"/>
            </w:pPr>
            <w:r>
              <w:rPr>
                <w:b/>
                <w:bCs/>
              </w:rPr>
              <w:t xml:space="preserve">Use Place Compute Regions rather than literal postcodes</w:t>
            </w:r>
          </w:p>
        </w:tc>
        <w:tc>
          <w:tcPr/>
          <w:p>
            <w:pPr>
              <w:pStyle w:val="Compact"/>
            </w:pPr>
            <w:r>
              <w:t xml:space="preserve">Design node boundaries around actual communities, LGAs, service regions, islands, bioregions and infrastructure conditions while retaining postcode discovery where useful.</w:t>
            </w:r>
          </w:p>
        </w:tc>
      </w:tr>
      <w:tr>
        <w:tc>
          <w:tcPr/>
          <w:p>
            <w:pPr>
              <w:pStyle w:val="Compact"/>
            </w:pPr>
            <w:r>
              <w:rPr>
                <w:b/>
                <w:bCs/>
              </w:rPr>
              <w:t xml:space="preserve">Make Indigenous Data Governance structural</w:t>
            </w:r>
          </w:p>
        </w:tc>
        <w:tc>
          <w:tcPr/>
          <w:p>
            <w:pPr>
              <w:pStyle w:val="Compact"/>
            </w:pPr>
            <w:r>
              <w:t xml:space="preserve">Require funded, negotiated First Nations data-governance arrangements wherever Indigenous data, Country, culture or knowledge is involved, drawing on the existing APS Indigenous Data Governance framework and Closing the Gap Priority Reform Four.</w:t>
            </w:r>
          </w:p>
        </w:tc>
      </w:tr>
      <w:tr>
        <w:tc>
          <w:tcPr/>
          <w:p>
            <w:pPr>
              <w:pStyle w:val="Compact"/>
            </w:pPr>
            <w:r>
              <w:rPr>
                <w:b/>
                <w:bCs/>
              </w:rPr>
              <w:t xml:space="preserve">Create an Australian AI Consent Receipt</w:t>
            </w:r>
          </w:p>
        </w:tc>
        <w:tc>
          <w:tcPr/>
          <w:p>
            <w:pPr>
              <w:pStyle w:val="Compact"/>
            </w:pPr>
            <w:r>
              <w:t xml:space="preserve">Standardise machine-readable, purpose-specific consent, expiry, withdrawal, audit, export and retention controls so important choices are not buried inside unread terms and conditions.</w:t>
            </w:r>
          </w:p>
        </w:tc>
      </w:tr>
      <w:tr>
        <w:tc>
          <w:tcPr/>
          <w:p>
            <w:pPr>
              <w:pStyle w:val="Compact"/>
            </w:pPr>
            <w:r>
              <w:rPr>
                <w:b/>
                <w:bCs/>
              </w:rPr>
              <w:t xml:space="preserve">Create a democratic AI social-licence process</w:t>
            </w:r>
          </w:p>
        </w:tc>
        <w:tc>
          <w:tcPr/>
          <w:p>
            <w:pPr>
              <w:pStyle w:val="Compact"/>
            </w:pPr>
            <w:r>
              <w:t xml:space="preserve">Regularly ask Australians what they expect from AI, including past, present and future values, while retaining a non-waivable legal and human-rights floor and avoiding ideological citizen scoring.</w:t>
            </w:r>
          </w:p>
        </w:tc>
      </w:tr>
      <w:tr>
        <w:tc>
          <w:tcPr/>
          <w:p>
            <w:pPr>
              <w:pStyle w:val="Compact"/>
            </w:pPr>
            <w:r>
              <w:rPr>
                <w:b/>
                <w:bCs/>
              </w:rPr>
              <w:t xml:space="preserve">Require interoperability and credible exit</w:t>
            </w:r>
          </w:p>
        </w:tc>
        <w:tc>
          <w:tcPr/>
          <w:p>
            <w:pPr>
              <w:pStyle w:val="Compact"/>
            </w:pPr>
            <w:r>
              <w:t xml:space="preserve">Publicly supported systems should prioritise portable data, open interfaces, documented models, sovereign key custody, vendor substitution and open-source components where appropriate rather than irreversible vendor lock-in.</w:t>
            </w:r>
          </w:p>
        </w:tc>
      </w:tr>
      <w:tr>
        <w:tc>
          <w:tcPr/>
          <w:p>
            <w:pPr>
              <w:pStyle w:val="Compact"/>
            </w:pPr>
            <w:r>
              <w:rPr>
                <w:b/>
                <w:bCs/>
              </w:rPr>
              <w:t xml:space="preserve">Create a Local Capability Dividend from hyperscale development</w:t>
            </w:r>
          </w:p>
        </w:tc>
        <w:tc>
          <w:tcPr/>
          <w:p>
            <w:pPr>
              <w:pStyle w:val="Compact"/>
            </w:pPr>
            <w:r>
              <w:t xml:space="preserve">Build upon existing expectations that major operators strengthen Australian research and local capability by developing a transparent mechanism through which large AI developments contribute compute access, training, infrastructure or funding to regional civic AI capacity.</w:t>
            </w:r>
            <w:r>
              <w:t xml:space="preserve"> </w:t>
            </w:r>
            <w:hyperlink r:id="rId11">
              <w:r>
                <w:rPr>
                  <w:rStyle w:val="Hyperlink"/>
                </w:rPr>
                <w:t xml:space="preserve">[2]</w:t>
              </w:r>
            </w:hyperlink>
          </w:p>
        </w:tc>
      </w:tr>
      <w:tr>
        <w:tc>
          <w:tcPr/>
          <w:p>
            <w:pPr>
              <w:pStyle w:val="Compact"/>
            </w:pPr>
            <w:r>
              <w:rPr>
                <w:b/>
                <w:bCs/>
              </w:rPr>
              <w:t xml:space="preserve">Design emergency intelligence from the edge upwards</w:t>
            </w:r>
          </w:p>
        </w:tc>
        <w:tc>
          <w:tcPr/>
          <w:p>
            <w:pPr>
              <w:pStyle w:val="Compact"/>
            </w:pPr>
            <w:r>
              <w:t xml:space="preserve">Maintain hardened low-power local nodes, caches and communications that can operate independently, with rack, state and national systems providing progressively greater capacity when available.</w:t>
            </w:r>
          </w:p>
        </w:tc>
      </w:tr>
      <w:tr>
        <w:tc>
          <w:tcPr/>
          <w:p>
            <w:pPr>
              <w:pStyle w:val="Compact"/>
            </w:pPr>
            <w:r>
              <w:rPr>
                <w:b/>
                <w:bCs/>
              </w:rPr>
              <w:t xml:space="preserve">Build an Australian public evidence and simulation graph</w:t>
            </w:r>
          </w:p>
        </w:tc>
        <w:tc>
          <w:tcPr/>
          <w:p>
            <w:pPr>
              <w:pStyle w:val="Compact"/>
            </w:pPr>
            <w:r>
              <w:t xml:space="preserve">Attach provenance, uncertainty, evidence status and model assumptions to public-interest digital twins and simulations, allowing established science and exploratory hypotheses to coexist without being confused.</w:t>
            </w:r>
          </w:p>
        </w:tc>
      </w:tr>
      <w:tr>
        <w:tc>
          <w:tcPr/>
          <w:p>
            <w:pPr>
              <w:pStyle w:val="Compact"/>
            </w:pPr>
            <w:r>
              <w:rPr>
                <w:b/>
                <w:bCs/>
              </w:rPr>
              <w:t xml:space="preserve">Do not create another unfunded local-government mandate</w:t>
            </w:r>
          </w:p>
        </w:tc>
        <w:tc>
          <w:tcPr/>
          <w:p>
            <w:pPr>
              <w:pStyle w:val="Compact"/>
            </w:pPr>
            <w:r>
              <w:t xml:space="preserve">Commonwealth capital, security standards and backbone services should be accompanied by state/territory planning and skills support; councils and First Nations organisations should be funded for the additional governance and operational responsibilities placed upon them.</w:t>
            </w:r>
          </w:p>
        </w:tc>
      </w:tr>
    </w:tbl>
    <w:p>
      <w:pPr>
        <w:pStyle w:val="BodyText"/>
      </w:pPr>
      <w:r>
        <w:t xml:space="preserve">The</w:t>
      </w:r>
      <w:r>
        <w:t xml:space="preserve"> </w:t>
      </w:r>
      <w:r>
        <w:rPr>
          <w:b/>
          <w:bCs/>
        </w:rPr>
        <w:t xml:space="preserve">Local Capability Dividend</w:t>
      </w:r>
      <w:r>
        <w:t xml:space="preserve"> </w:t>
      </w:r>
      <w:r>
        <w:t xml:space="preserve">is worth pushing particularly hard. The Government already expects large infrastructure developers to strengthen Australian research, innovation and local capability and to serve local communities. Your proposal is a logical evolution: when Australia grants social licence, grid connection and economic access to giant AI facilities, part of the resulting capability should help seed an</w:t>
      </w:r>
      <w:r>
        <w:t xml:space="preserve"> </w:t>
      </w:r>
      <w:r>
        <w:rPr>
          <w:b/>
          <w:bCs/>
        </w:rPr>
        <w:t xml:space="preserve">Australian public-interest compute commons</w:t>
      </w:r>
      <w:r>
        <w:t xml:space="preserve">, not merely generate private cloud capacity.</w:t>
      </w:r>
      <w:r>
        <w:t xml:space="preserve"> </w:t>
      </w:r>
      <w:hyperlink r:id="rId11">
        <w:r>
          <w:rPr>
            <w:rStyle w:val="Hyperlink"/>
          </w:rPr>
          <w:t xml:space="preserve">[2]</w:t>
        </w:r>
      </w:hyperlink>
    </w:p>
    <w:p>
      <w:pPr>
        <w:pStyle w:val="BodyText"/>
      </w:pPr>
      <w:r>
        <w:t xml:space="preserve">The values component can similarly be expressed without frightening policymakers into thinking government is being asked to program “Joyful Responsible Abundance” into a national superintelligence. The submission should advocate a</w:t>
      </w:r>
      <w:r>
        <w:t xml:space="preserve"> </w:t>
      </w:r>
      <w:r>
        <w:rPr>
          <w:b/>
          <w:bCs/>
        </w:rPr>
        <w:t xml:space="preserve">pluralistic protocol for discovering, recording and contesting values</w:t>
      </w:r>
      <w:r>
        <w:t xml:space="preserve">. GAJRA's phrase becomes an invitation to dialogue rather than an ideology:</w:t>
      </w:r>
    </w:p>
    <w:p>
      <w:pPr>
        <w:pStyle w:val="BlockText"/>
      </w:pPr>
      <w:r>
        <w:rPr>
          <w:i/>
          <w:iCs/>
        </w:rPr>
        <w:t xml:space="preserve">What does joyful, responsible abundance mean in different Australian communities, cultures and generations, and how should AI systems respect those differences while operating within common Australian law?</w:t>
      </w:r>
    </w:p>
    <w:p>
      <w:pPr>
        <w:pStyle w:val="FirstParagraph"/>
      </w:pPr>
      <w:r>
        <w:t xml:space="preserve">That idea becomes even more interesting globally. Your 44,000-node thought experiment is not best understood as “buy A$264 billion of NVIDIA racks”. It is a thought experiment in</w:t>
      </w:r>
      <w:r>
        <w:t xml:space="preserve"> </w:t>
      </w:r>
      <w:r>
        <w:rPr>
          <w:b/>
          <w:bCs/>
        </w:rPr>
        <w:t xml:space="preserve">distributed agency</w:t>
      </w:r>
      <w:r>
        <w:t xml:space="preserve">:</w:t>
      </w:r>
    </w:p>
    <w:p>
      <w:pPr>
        <w:pStyle w:val="BodyText"/>
      </w:pPr>
      <w:r>
        <w:t xml:space="preserve">Imagine thousands of communities capable of running serious local computation; maintaining their own cultural and civic data; describing their values in their own languages; building interoperable digital twins of their places; testing alternative futures; contributing science without surrendering their raw datasets; and voluntarily participating in larger regional and planetary simulations.</w:t>
      </w:r>
    </w:p>
    <w:p>
      <w:pPr>
        <w:pStyle w:val="BodyText"/>
      </w:pPr>
      <w:r>
        <w:t xml:space="preserve">Then interoperability can occur recursively:</w:t>
      </w:r>
    </w:p>
    <w:p>
      <w:pPr>
        <w:pStyle w:val="BodyText"/>
      </w:pPr>
      <w:r>
        <w:rPr>
          <w:b/>
          <w:bCs/>
        </w:rPr>
        <w:t xml:space="preserve">self → family → neighbourhood → community → Country/bioregion/watershed/island → local government → state → First Nation → Australia → Oceania → planet</w:t>
      </w:r>
      <w:r>
        <w:t xml:space="preserve">, while recognising that these are overlapping relationships rather than a rigid chain of command.</w:t>
      </w:r>
    </w:p>
    <w:p>
      <w:pPr>
        <w:pStyle w:val="BodyText"/>
      </w:pPr>
      <w:r>
        <w:t xml:space="preserve">Your uploaded Sensorium and Sovereign Space Builder documents already contain the conceptual seeds: local-first data, P2P synchronisation, digital twins, credentials, provenance, simulation and fractal governance. fileciteturn0file0 fileciteturn0file8 The local-government submission supplies the fiscal and civic rationale. fileciteturn0file1 The current federal AI policy supplies the policy window.</w:t>
      </w:r>
      <w:r>
        <w:t xml:space="preserve"> </w:t>
      </w:r>
      <w:hyperlink r:id="rId10">
        <w:r>
          <w:rPr>
            <w:rStyle w:val="Hyperlink"/>
          </w:rPr>
          <w:t xml:space="preserve">[30]</w:t>
        </w:r>
      </w:hyperlink>
    </w:p>
    <w:p>
      <w:pPr>
        <w:pStyle w:val="BodyText"/>
      </w:pPr>
      <w:r>
        <w:t xml:space="preserve">A copy-ready core argument for the eventual submission would therefore read:</w:t>
      </w:r>
    </w:p>
    <w:p>
      <w:pPr>
        <w:pStyle w:val="BlockText"/>
      </w:pPr>
      <w:r>
        <w:rPr>
          <w:b/>
          <w:bCs/>
        </w:rPr>
        <w:t xml:space="preserve">Australia should not put all of its artificial-intelligence eggs in one basket.</w:t>
      </w:r>
    </w:p>
    <w:p>
      <w:pPr>
        <w:pStyle w:val="BlockText"/>
      </w:pPr>
      <w:r>
        <w:t xml:space="preserve">Large data centres and global frontier models will be important to Australia's future, and Australia should continue engaging constructively with the companies and nations building them. But efficiency at the centre must not be confused with resilience of the whole system.</w:t>
      </w:r>
    </w:p>
    <w:p>
      <w:pPr>
        <w:pStyle w:val="BlockText"/>
      </w:pPr>
      <w:r>
        <w:t xml:space="preserve">Australia should build a balanced architecture of centralised, decentralised and edge compute. Alongside major national facilities, we should progressively establish publicly accessible sovereign compute nodes at the level of real Australian places: regions, councils, islands, First Nations communities, schools, universities, libraries and other appropriate civic institutions. These nodes should be connected to smaller neighbourhood and personal systems capable of retaining useful intelligence when external networks are unavailable.</w:t>
      </w:r>
    </w:p>
    <w:p>
      <w:pPr>
        <w:pStyle w:val="BlockText"/>
      </w:pPr>
      <w:r>
        <w:t xml:space="preserve">The purpose is not technological nationalism. It is technological agency. Australians should be able to use the best models in the world while retaining the knowledge, skills, infrastructure and standards necessary to understand those models, protect sensitive information, substitute suppliers and continue essential functions when circumstances change.</w:t>
      </w:r>
    </w:p>
    <w:p>
      <w:pPr>
        <w:pStyle w:val="BlockText"/>
      </w:pPr>
      <w:r>
        <w:t xml:space="preserve">Data sovereignty must operate at several scales simultaneously. Individuals require meaningful custody and revocable control over personal information. Local communities need meaningful control over local civic data. Governments require the capability to perform legitimate public functions securely. Aboriginal and Torres Strait Islander peoples require Indigenous Data Governance consistent with their authority over data concerning their peoples, communities, Country, culture and knowledge. Australia needs sovereign national capability while remaining interoperable with Oceania and the wider world. These forms of sovereignty should be designed to interoperate rather than being forced into a single central database.</w:t>
      </w:r>
    </w:p>
    <w:p>
      <w:pPr>
        <w:pStyle w:val="BlockText"/>
      </w:pPr>
      <w:r>
        <w:t xml:space="preserve">Consent should become an active technical capability rather than a paragraph buried in terms and conditions. Australians should be able to understand what an AI service is doing with their information; give permission for specific purposes; withdraw future access; keep their own copy of their personal records; see how automated systems materially affect them; and move between providers where practicable. The Australian Privacy Principles already provide an important legal foundation for consent, security, access, correction, retention and destruction or de-identification.</w:t>
      </w:r>
      <w:r>
        <w:t xml:space="preserve"> </w:t>
      </w:r>
      <w:hyperlink r:id="rId30">
        <w:r>
          <w:rPr>
            <w:rStyle w:val="Hyperlink"/>
          </w:rPr>
          <w:t xml:space="preserve">[31]</w:t>
        </w:r>
      </w:hyperlink>
    </w:p>
    <w:p>
      <w:pPr>
        <w:pStyle w:val="BlockText"/>
      </w:pPr>
      <w:r>
        <w:t xml:space="preserve">Australia should also create a continuing democratic process for examining the values we want artificial intelligence to embody. The coming Australian Standards for AI provide an opportunity to move beyond unread terms and conditions and periodically ask Australians, in accessible and culturally appropriate forms, what values from our past they wish to preserve, what values should govern the present, and what values they want to cultivate for the future. These exercises should inform social licence and system design without allowing a temporary majority, corporation or government to override fundamental legal rights.</w:t>
      </w:r>
    </w:p>
    <w:p>
      <w:pPr>
        <w:pStyle w:val="BlockText"/>
      </w:pPr>
      <w:r>
        <w:t xml:space="preserve">First Nations participation must begin with governance rather than extraction. A digital twin of Country should not mean copying cultural and place-based information into somebody else's model. Australia should support First Nations Data Sovereignty Agreements and technical architectures through which communities determine what data may be collected, where it is held, who may use it, for what purpose, and under what conditions. This direction is consistent with the Commonwealth's existing Framework for Governance of Indigenous Data and Closing the Gap's commitment to regional data capability and Indigenous Data Governance.</w:t>
      </w:r>
      <w:r>
        <w:t xml:space="preserve"> </w:t>
      </w:r>
      <w:hyperlink r:id="rId42">
        <w:r>
          <w:rPr>
            <w:rStyle w:val="Hyperlink"/>
          </w:rPr>
          <w:t xml:space="preserve">[32]</w:t>
        </w:r>
      </w:hyperlink>
    </w:p>
    <w:p>
      <w:pPr>
        <w:pStyle w:val="BlockText"/>
      </w:pPr>
      <w:r>
        <w:t xml:space="preserve">Local compute should also be a national skills strategy. Young Australians should not encounter AI solely as consumers of foreign chatbots. School students, apprentices, university students, citizen scientists, artists, filmmakers, small businesses and community organisations should be able to understand the stack, train and adapt models in safe sandboxes, operate digital twins and contribute to public-interest projects. The National AI Plan already recognises schools, TAFEs, universities, not-for-profits and community organisations as participants in spreading AI's benefits.</w:t>
      </w:r>
      <w:r>
        <w:t xml:space="preserve"> </w:t>
      </w:r>
      <w:hyperlink r:id="rId15">
        <w:r>
          <w:rPr>
            <w:rStyle w:val="Hyperlink"/>
          </w:rPr>
          <w:t xml:space="preserve">[33]</w:t>
        </w:r>
      </w:hyperlink>
    </w:p>
    <w:p>
      <w:pPr>
        <w:pStyle w:val="BlockText"/>
      </w:pPr>
      <w:r>
        <w:t xml:space="preserve">I propose that the Commonwealth establish a competitive pilot program for a federated Civic AI Compute Network. One candidate pilot is Dunwich/Goompi on Minjerribah, within Redland City, where a community-scale node could be explored through a proposed Ready SET Cooperative model. The proposal is presently hypothetical and unfunded. No approval or endorsement by Quandamooka organisations, Redland City Council, Queensland or Commonwealth authorities is implied. A pilot should begin with co-design and technical feasibility and progress to rack-class compute only if power, cooling, utilisation, cybersecurity, governance and community-benefit tests are satisfied.</w:t>
      </w:r>
    </w:p>
    <w:p>
      <w:pPr>
        <w:pStyle w:val="BlockText"/>
      </w:pPr>
      <w:r>
        <w:t xml:space="preserve">The resulting platform could support open and consented digital twins for education, environmental science, local planning, tourism, screen production, game development, emergency preparedness, small business and research. It could also serve as a laboratory for resilient communications and local AI during network disruption. Similar pilots across contrasting Australian regions would establish whether larger rack-class nodes, shared regional facilities or smaller edge clusters produce the best combination of capability, resilience and cost.</w:t>
      </w:r>
    </w:p>
    <w:p>
      <w:pPr>
        <w:pStyle w:val="BlockText"/>
      </w:pPr>
      <w:r>
        <w:t xml:space="preserve">This proposal builds directly upon my earlier submission to the Inquiry into Local Government Funding and Fiscal Sustainability. The fundamental issue is the same: local government cannot sustainably carry expanding twenty-first-century responsibilities without corresponding capability and infrastructure. AI should not become another service councils are expected to procure from a remote vendor and fund from an already constrained rates base. A national AI architecture should strengthen local capability rather than hollow it out. fileciteturn0file1</w:t>
      </w:r>
    </w:p>
    <w:p>
      <w:pPr>
        <w:pStyle w:val="BlockText"/>
      </w:pPr>
      <w:r>
        <w:t xml:space="preserve">The objective is not to replace Australia's large data centres. It is to ensure they form one layer of a resilient national system rather than becoming its single point of dependency. Central compute gives us scale. Local compute gives us agency, skills and resilience. Personal compute gives citizens privacy and autonomy. First Nations governance protects authority over Country and culture. National infrastructure provides security and coordination. Oceania and global interoperability allow Australians to participate fully in the best models and knowledge humanity creates.</w:t>
      </w:r>
    </w:p>
    <w:p>
      <w:pPr>
        <w:pStyle w:val="BlockText"/>
      </w:pPr>
      <w:r>
        <w:rPr>
          <w:b/>
          <w:bCs/>
        </w:rPr>
        <w:t xml:space="preserve">A fair go for the AI age means Australians should inherit intelligence infrastructure they can understand, participate in, contest and leave—not a technological trap whose terms were accepted on their behalf before they knew what they were giving away.</w:t>
      </w:r>
    </w:p>
    <w:p>
      <w:pPr>
        <w:pStyle w:val="BlockText"/>
      </w:pPr>
      <w:r>
        <w:t xml:space="preserve">The choice is therefore not centralised</w:t>
      </w:r>
      <w:r>
        <w:t xml:space="preserve"> </w:t>
      </w:r>
      <w:r>
        <w:rPr>
          <w:i/>
          <w:iCs/>
        </w:rPr>
        <w:t xml:space="preserve">or</w:t>
      </w:r>
      <w:r>
        <w:t xml:space="preserve"> </w:t>
      </w:r>
      <w:r>
        <w:t xml:space="preserve">decentralised AI. Australia needs both, joined by open standards and clear sovereignty boundaries. We should use this period of extraordinary technological acceleration to build redundancy, experiment in public, transfer capability into communities, test our assumptions and preserve the ability to adapt.</w:t>
      </w:r>
    </w:p>
    <w:p>
      <w:pPr>
        <w:pStyle w:val="BlockText"/>
      </w:pPr>
      <w:r>
        <w:t xml:space="preserve">That is a practical national-security strategy, a regional-development strategy, an education strategy and a democratic strategy at the same time. It does not promise utopia. It creates more capable communities, more options and fewer single points of failure—and gives Australia a better chance of making the AI transition a</w:t>
      </w:r>
      <w:r>
        <w:t xml:space="preserve"> </w:t>
      </w:r>
      <w:r>
        <w:rPr>
          <w:b/>
          <w:bCs/>
        </w:rPr>
        <w:t xml:space="preserve">fair go for the future rather than a trap for it</w:t>
      </w:r>
      <w:r>
        <w:t xml:space="preserve">.</w:t>
      </w:r>
    </w:p>
    <w:bookmarkEnd w:id="43"/>
    <w:bookmarkEnd w:id="44"/>
    <w:bookmarkEnd w:id="45"/>
    <w:p>
      <w:r>
        <w:pict>
          <v:rect style="width:0;height:1.5pt" o:hralign="center" o:hrstd="t" o:hr="t"/>
        </w:pict>
      </w:r>
    </w:p>
    <w:bookmarkStart w:id="46" w:name="citations"/>
    <w:p>
      <w:pPr>
        <w:pStyle w:val="FirstParagraph"/>
      </w:pPr>
      <w:hyperlink r:id="rId10">
        <w:r>
          <w:rPr>
            <w:rStyle w:val="Hyperlink"/>
          </w:rPr>
          <w:t xml:space="preserve">[1]</w:t>
        </w:r>
      </w:hyperlink>
      <w:r>
        <w:t xml:space="preserve"> </w:t>
      </w:r>
      <w:hyperlink r:id="rId10">
        <w:r>
          <w:rPr>
            <w:rStyle w:val="Hyperlink"/>
          </w:rPr>
          <w:t xml:space="preserve">[30]</w:t>
        </w:r>
      </w:hyperlink>
      <w:r>
        <w:t xml:space="preserve"> </w:t>
      </w:r>
      <w:r>
        <w:t xml:space="preserve">Artificial intelligence and data centres – Parliament of Australia</w:t>
      </w:r>
    </w:p>
    <w:p>
      <w:pPr>
        <w:pStyle w:val="BodyText"/>
      </w:pPr>
      <w:hyperlink r:id="rId10">
        <w:r>
          <w:rPr>
            <w:rStyle w:val="Hyperlink"/>
          </w:rPr>
          <w:t xml:space="preserve">https://www.aph.gov.au/Parliamentary_Business/Committees/Senate/Environment_and_Communications/AIdatacentres48P?utm_source=chatgpt.com</w:t>
        </w:r>
      </w:hyperlink>
    </w:p>
    <w:p>
      <w:pPr>
        <w:pStyle w:val="BodyText"/>
      </w:pPr>
      <w:hyperlink r:id="rId11">
        <w:r>
          <w:rPr>
            <w:rStyle w:val="Hyperlink"/>
          </w:rPr>
          <w:t xml:space="preserve">[2]</w:t>
        </w:r>
      </w:hyperlink>
      <w:r>
        <w:t xml:space="preserve"> </w:t>
      </w:r>
      <w:hyperlink r:id="rId11">
        <w:r>
          <w:rPr>
            <w:rStyle w:val="Hyperlink"/>
          </w:rPr>
          <w:t xml:space="preserve">[8]</w:t>
        </w:r>
      </w:hyperlink>
      <w:r>
        <w:t xml:space="preserve"> </w:t>
      </w:r>
      <w:r>
        <w:t xml:space="preserve">Expectations of data centres and AI infrastructure developers | Department of Industry Science and Resources</w:t>
      </w:r>
    </w:p>
    <w:p>
      <w:pPr>
        <w:pStyle w:val="BodyText"/>
      </w:pPr>
      <w:hyperlink r:id="rId11">
        <w:r>
          <w:rPr>
            <w:rStyle w:val="Hyperlink"/>
          </w:rPr>
          <w:t xml:space="preserve">https://www.industry.gov.au/publications/expectations-data-centres-and-ai-infrastructure-developers?utm_source=chatgpt.com</w:t>
        </w:r>
      </w:hyperlink>
    </w:p>
    <w:p>
      <w:pPr>
        <w:pStyle w:val="BodyText"/>
      </w:pPr>
      <w:hyperlink r:id="rId12">
        <w:r>
          <w:rPr>
            <w:rStyle w:val="Hyperlink"/>
          </w:rPr>
          <w:t xml:space="preserve">[3]</w:t>
        </w:r>
      </w:hyperlink>
      <w:r>
        <w:t xml:space="preserve"> </w:t>
      </w:r>
      <w:r>
        <w:t xml:space="preserve">The Long Game: Grain by Grain</w:t>
      </w:r>
    </w:p>
    <w:p>
      <w:pPr>
        <w:pStyle w:val="BodyText"/>
      </w:pPr>
      <w:hyperlink r:id="rId12">
        <w:r>
          <w:rPr>
            <w:rStyle w:val="Hyperlink"/>
          </w:rPr>
          <w:t xml:space="preserve">https://auraofintelligence.github.io/grain-by-grain-documentary/</w:t>
        </w:r>
      </w:hyperlink>
    </w:p>
    <w:p>
      <w:pPr>
        <w:pStyle w:val="BodyText"/>
      </w:pPr>
      <w:hyperlink r:id="rId13">
        <w:r>
          <w:rPr>
            <w:rStyle w:val="Hyperlink"/>
          </w:rPr>
          <w:t xml:space="preserve">[4]</w:t>
        </w:r>
      </w:hyperlink>
      <w:r>
        <w:t xml:space="preserve"> </w:t>
      </w:r>
      <w:r>
        <w:t xml:space="preserve">Community Ledger | Strange but True</w:t>
      </w:r>
    </w:p>
    <w:p>
      <w:pPr>
        <w:pStyle w:val="BodyText"/>
      </w:pPr>
      <w:hyperlink r:id="rId13">
        <w:r>
          <w:rPr>
            <w:rStyle w:val="Hyperlink"/>
          </w:rPr>
          <w:t xml:space="preserve">https://auraofintelligence.github.io/strange-but-true/community-ledger.html</w:t>
        </w:r>
      </w:hyperlink>
    </w:p>
    <w:p>
      <w:pPr>
        <w:pStyle w:val="BodyText"/>
      </w:pPr>
      <w:hyperlink r:id="rId15">
        <w:r>
          <w:rPr>
            <w:rStyle w:val="Hyperlink"/>
          </w:rPr>
          <w:t xml:space="preserve">[5]</w:t>
        </w:r>
      </w:hyperlink>
      <w:r>
        <w:t xml:space="preserve"> </w:t>
      </w:r>
      <w:hyperlink r:id="rId15">
        <w:r>
          <w:rPr>
            <w:rStyle w:val="Hyperlink"/>
          </w:rPr>
          <w:t xml:space="preserve">[33]</w:t>
        </w:r>
      </w:hyperlink>
      <w:r>
        <w:t xml:space="preserve"> </w:t>
      </w:r>
      <w:r>
        <w:t xml:space="preserve">National AI Plan: Empowering all Australians | Senator the Hon Tim Ayres | Ministers for the Department of Industry, Science and Resources</w:t>
      </w:r>
    </w:p>
    <w:p>
      <w:pPr>
        <w:pStyle w:val="BodyText"/>
      </w:pPr>
      <w:hyperlink r:id="rId15">
        <w:r>
          <w:rPr>
            <w:rStyle w:val="Hyperlink"/>
          </w:rPr>
          <w:t xml:space="preserve">https://www.minister.industry.gov.au/t-ayres/media/national-ai-plan-empowering-all-australians?utm_source=chatgpt.com</w:t>
        </w:r>
      </w:hyperlink>
    </w:p>
    <w:p>
      <w:pPr>
        <w:pStyle w:val="BodyText"/>
      </w:pPr>
      <w:hyperlink r:id="rId16">
        <w:r>
          <w:rPr>
            <w:rStyle w:val="Hyperlink"/>
          </w:rPr>
          <w:t xml:space="preserve">[6]</w:t>
        </w:r>
      </w:hyperlink>
      <w:r>
        <w:t xml:space="preserve"> </w:t>
      </w:r>
      <w:r>
        <w:t xml:space="preserve">Future-ready workforce: One million Aussies to get free AI skills training | Senator the Hon Tim Ayres | Ministers for the Department of Industry, Science and Resources</w:t>
      </w:r>
    </w:p>
    <w:p>
      <w:pPr>
        <w:pStyle w:val="BodyText"/>
      </w:pPr>
      <w:hyperlink r:id="rId16">
        <w:r>
          <w:rPr>
            <w:rStyle w:val="Hyperlink"/>
          </w:rPr>
          <w:t xml:space="preserve">https://www.minister.industry.gov.au/ministers/timayres/media-releases/future-ready-workforce-one-million-aussies-get-free-ai-skills-training?utm_source=chatgpt.com</w:t>
        </w:r>
      </w:hyperlink>
    </w:p>
    <w:p>
      <w:pPr>
        <w:pStyle w:val="BodyText"/>
      </w:pPr>
      <w:hyperlink r:id="rId17">
        <w:r>
          <w:rPr>
            <w:rStyle w:val="Hyperlink"/>
          </w:rPr>
          <w:t xml:space="preserve">[7]</w:t>
        </w:r>
      </w:hyperlink>
      <w:r>
        <w:t xml:space="preserve"> </w:t>
      </w:r>
      <w:r>
        <w:t xml:space="preserve">$7 billion infrastructure deal to boost AI in Australia | The Hon Dr Andrew Charlton MP | Ministers for the Department of Industry, Science and Resources</w:t>
      </w:r>
    </w:p>
    <w:p>
      <w:pPr>
        <w:pStyle w:val="BodyText"/>
      </w:pPr>
      <w:hyperlink r:id="rId17">
        <w:r>
          <w:rPr>
            <w:rStyle w:val="Hyperlink"/>
          </w:rPr>
          <w:t xml:space="preserve">https://www.minister.industry.gov.au/charlton/media/7-billion-infrastructure-deal-boost-ai-australia?utm_source=chatgpt.com</w:t>
        </w:r>
      </w:hyperlink>
    </w:p>
    <w:p>
      <w:pPr>
        <w:pStyle w:val="BodyText"/>
      </w:pPr>
      <w:hyperlink r:id="rId18">
        <w:r>
          <w:rPr>
            <w:rStyle w:val="Hyperlink"/>
          </w:rPr>
          <w:t xml:space="preserve">[9]</w:t>
        </w:r>
      </w:hyperlink>
      <w:r>
        <w:t xml:space="preserve"> </w:t>
      </w:r>
      <w:r>
        <w:t xml:space="preserve">Australia signs Pax Silica Declaration to secure our digital future | Department of Industry Science and Resources</w:t>
      </w:r>
    </w:p>
    <w:p>
      <w:pPr>
        <w:pStyle w:val="BodyText"/>
      </w:pPr>
      <w:hyperlink r:id="rId18">
        <w:r>
          <w:rPr>
            <w:rStyle w:val="Hyperlink"/>
          </w:rPr>
          <w:t xml:space="preserve">https://www.industry.gov.au/news/australia-signs-pax-silica-declaration-secure-our-digital-future?utm_source=chatgpt.com</w:t>
        </w:r>
      </w:hyperlink>
    </w:p>
    <w:p>
      <w:pPr>
        <w:pStyle w:val="BodyText"/>
      </w:pPr>
      <w:hyperlink r:id="rId19">
        <w:r>
          <w:rPr>
            <w:rStyle w:val="Hyperlink"/>
          </w:rPr>
          <w:t xml:space="preserve">[10]</w:t>
        </w:r>
      </w:hyperlink>
      <w:r>
        <w:t xml:space="preserve"> </w:t>
      </w:r>
      <w:r>
        <w:t xml:space="preserve">Australia to establish new institute to strengthen AI safety | Department of Industry Science and Resources</w:t>
      </w:r>
    </w:p>
    <w:p>
      <w:pPr>
        <w:pStyle w:val="BodyText"/>
      </w:pPr>
      <w:hyperlink r:id="rId19">
        <w:r>
          <w:rPr>
            <w:rStyle w:val="Hyperlink"/>
          </w:rPr>
          <w:t xml:space="preserve">https://www.industry.gov.au/news/australia-establish-new-institute-strengthen-ai-safety?utm_source=chatgpt.com</w:t>
        </w:r>
      </w:hyperlink>
    </w:p>
    <w:p>
      <w:pPr>
        <w:pStyle w:val="BodyText"/>
      </w:pPr>
      <w:hyperlink r:id="rId21">
        <w:r>
          <w:rPr>
            <w:rStyle w:val="Hyperlink"/>
          </w:rPr>
          <w:t xml:space="preserve">[11]</w:t>
        </w:r>
      </w:hyperlink>
      <w:r>
        <w:t xml:space="preserve"> </w:t>
      </w:r>
      <w:r>
        <w:t xml:space="preserve">Non ABS Structures | Australian Bureau of Statistics</w:t>
      </w:r>
    </w:p>
    <w:p>
      <w:pPr>
        <w:pStyle w:val="BodyText"/>
      </w:pPr>
      <w:hyperlink r:id="rId21">
        <w:r>
          <w:rPr>
            <w:rStyle w:val="Hyperlink"/>
          </w:rPr>
          <w:t xml:space="preserve">https://www.abs.gov.au/statistics/standards/australian-statistical-geography-standard-asgs/edition-3-july-2021-june-2026/non-abs-structures?utm_source=chatgpt.com</w:t>
        </w:r>
      </w:hyperlink>
    </w:p>
    <w:p>
      <w:pPr>
        <w:pStyle w:val="BodyText"/>
      </w:pPr>
      <w:hyperlink r:id="rId22">
        <w:r>
          <w:rPr>
            <w:rStyle w:val="Hyperlink"/>
          </w:rPr>
          <w:t xml:space="preserve">[12]</w:t>
        </w:r>
      </w:hyperlink>
      <w:r>
        <w:t xml:space="preserve"> </w:t>
      </w:r>
      <w:r>
        <w:t xml:space="preserve">Framework for Governance of Indigenous Data | NIAA</w:t>
      </w:r>
    </w:p>
    <w:p>
      <w:pPr>
        <w:pStyle w:val="BodyText"/>
      </w:pPr>
      <w:hyperlink r:id="rId22">
        <w:r>
          <w:rPr>
            <w:rStyle w:val="Hyperlink"/>
          </w:rPr>
          <w:t xml:space="preserve">https://www.niaa.gov.au/news-and-media/framework-governance-indigenous-data?utm_source=chatgpt.com</w:t>
        </w:r>
      </w:hyperlink>
    </w:p>
    <w:p>
      <w:pPr>
        <w:pStyle w:val="BodyText"/>
      </w:pPr>
      <w:hyperlink r:id="rId23">
        <w:r>
          <w:rPr>
            <w:rStyle w:val="Hyperlink"/>
          </w:rPr>
          <w:t xml:space="preserve">[13]</w:t>
        </w:r>
      </w:hyperlink>
      <w:r>
        <w:t xml:space="preserve"> </w:t>
      </w:r>
      <w:r>
        <w:t xml:space="preserve">Priority Reform Four: Shared access to data and information at a regional level | NIAA</w:t>
      </w:r>
    </w:p>
    <w:p>
      <w:pPr>
        <w:pStyle w:val="BodyText"/>
      </w:pPr>
      <w:hyperlink r:id="rId23">
        <w:r>
          <w:rPr>
            <w:rStyle w:val="Hyperlink"/>
          </w:rPr>
          <w:t xml:space="preserve">https://www.niaa.gov.au/2023-commonwealth-closing-gap-implementation-plan/changing-way-we-work/priority-reform-four-shared-access-data-and-information?utm_source=chatgpt.com</w:t>
        </w:r>
      </w:hyperlink>
    </w:p>
    <w:p>
      <w:pPr>
        <w:pStyle w:val="BodyText"/>
      </w:pPr>
      <w:hyperlink r:id="rId24">
        <w:r>
          <w:rPr>
            <w:rStyle w:val="Hyperlink"/>
          </w:rPr>
          <w:t xml:space="preserve">[14]</w:t>
        </w:r>
      </w:hyperlink>
      <w:r>
        <w:t xml:space="preserve"> </w:t>
      </w:r>
      <w:r>
        <w:t xml:space="preserve">Artificial Intelligence (AI) Transparency Statement 2026 | NIAA</w:t>
      </w:r>
    </w:p>
    <w:p>
      <w:pPr>
        <w:pStyle w:val="BodyText"/>
      </w:pPr>
      <w:hyperlink r:id="rId24">
        <w:r>
          <w:rPr>
            <w:rStyle w:val="Hyperlink"/>
          </w:rPr>
          <w:t xml:space="preserve">https://www.niaa.gov.au/artificial-intelligence-ai-transparency-statement-2026?utm_source=chatgpt.com</w:t>
        </w:r>
      </w:hyperlink>
    </w:p>
    <w:p>
      <w:pPr>
        <w:pStyle w:val="BodyText"/>
      </w:pPr>
      <w:hyperlink r:id="rId26">
        <w:r>
          <w:rPr>
            <w:rStyle w:val="Hyperlink"/>
          </w:rPr>
          <w:t xml:space="preserve">[15]</w:t>
        </w:r>
      </w:hyperlink>
      <w:r>
        <w:t xml:space="preserve"> </w:t>
      </w:r>
      <w:r>
        <w:t xml:space="preserve">Australia and Singapore show compatibility between AI governance frameworks | Department of Industry Science and Resources</w:t>
      </w:r>
    </w:p>
    <w:p>
      <w:pPr>
        <w:pStyle w:val="BodyText"/>
      </w:pPr>
      <w:hyperlink r:id="rId26">
        <w:r>
          <w:rPr>
            <w:rStyle w:val="Hyperlink"/>
          </w:rPr>
          <w:t xml:space="preserve">https://www.industry.gov.au/news/australia-and-singapore-show-compatibility-between-ai-governance-frameworks?utm_source=chatgpt.com</w:t>
        </w:r>
      </w:hyperlink>
    </w:p>
    <w:p>
      <w:pPr>
        <w:pStyle w:val="BodyText"/>
      </w:pPr>
      <w:hyperlink r:id="rId27">
        <w:r>
          <w:rPr>
            <w:rStyle w:val="Hyperlink"/>
          </w:rPr>
          <w:t xml:space="preserve">[16]</w:t>
        </w:r>
      </w:hyperlink>
      <w:r>
        <w:t xml:space="preserve"> </w:t>
      </w:r>
      <w:hyperlink r:id="rId27">
        <w:r>
          <w:rPr>
            <w:rStyle w:val="Hyperlink"/>
          </w:rPr>
          <w:t xml:space="preserve">[24]</w:t>
        </w:r>
      </w:hyperlink>
      <w:r>
        <w:t xml:space="preserve"> </w:t>
      </w:r>
      <w:r>
        <w:t xml:space="preserve">AI in Australia's interests | Prime Minister of Australia</w:t>
      </w:r>
    </w:p>
    <w:p>
      <w:pPr>
        <w:pStyle w:val="BodyText"/>
      </w:pPr>
      <w:hyperlink r:id="rId27">
        <w:r>
          <w:rPr>
            <w:rStyle w:val="Hyperlink"/>
          </w:rPr>
          <w:t xml:space="preserve">https://www.pm.gov.au/media/ai-australias-interests?utm_source=chatgpt.com</w:t>
        </w:r>
      </w:hyperlink>
    </w:p>
    <w:p>
      <w:pPr>
        <w:pStyle w:val="BodyText"/>
      </w:pPr>
      <w:hyperlink r:id="rId28">
        <w:r>
          <w:rPr>
            <w:rStyle w:val="Hyperlink"/>
          </w:rPr>
          <w:t xml:space="preserve">[17]</w:t>
        </w:r>
      </w:hyperlink>
      <w:r>
        <w:t xml:space="preserve"> </w:t>
      </w:r>
      <w:r>
        <w:t xml:space="preserve">GAJRA Earth · AI alignment, worked out in the open</w:t>
      </w:r>
    </w:p>
    <w:p>
      <w:pPr>
        <w:pStyle w:val="BodyText"/>
      </w:pPr>
      <w:hyperlink r:id="rId28">
        <w:r>
          <w:rPr>
            <w:rStyle w:val="Hyperlink"/>
          </w:rPr>
          <w:t xml:space="preserve">https://auraofintelligence.github.io/gajra-earth-claude-build/</w:t>
        </w:r>
      </w:hyperlink>
    </w:p>
    <w:p>
      <w:pPr>
        <w:pStyle w:val="BodyText"/>
      </w:pPr>
      <w:hyperlink r:id="rId29">
        <w:r>
          <w:rPr>
            <w:rStyle w:val="Hyperlink"/>
          </w:rPr>
          <w:t xml:space="preserve">[18]</w:t>
        </w:r>
      </w:hyperlink>
      <w:r>
        <w:t xml:space="preserve"> </w:t>
      </w:r>
      <w:r>
        <w:t xml:space="preserve">Consent to the handling of personal information | OAIC</w:t>
      </w:r>
    </w:p>
    <w:p>
      <w:pPr>
        <w:pStyle w:val="BodyText"/>
      </w:pPr>
      <w:hyperlink r:id="rId29">
        <w:r>
          <w:rPr>
            <w:rStyle w:val="Hyperlink"/>
          </w:rPr>
          <w:t xml:space="preserve">https://www.oaic.gov.au/privacy/your-privacy-rights/your-personal-information/consent-to-the-handling-of-personal-information?utm_source=chatgpt.com</w:t>
        </w:r>
      </w:hyperlink>
    </w:p>
    <w:p>
      <w:pPr>
        <w:pStyle w:val="BodyText"/>
      </w:pPr>
      <w:hyperlink r:id="rId30">
        <w:r>
          <w:rPr>
            <w:rStyle w:val="Hyperlink"/>
          </w:rPr>
          <w:t xml:space="preserve">[19]</w:t>
        </w:r>
      </w:hyperlink>
      <w:r>
        <w:t xml:space="preserve"> </w:t>
      </w:r>
      <w:hyperlink r:id="rId30">
        <w:r>
          <w:rPr>
            <w:rStyle w:val="Hyperlink"/>
          </w:rPr>
          <w:t xml:space="preserve">[21]</w:t>
        </w:r>
      </w:hyperlink>
      <w:r>
        <w:t xml:space="preserve"> </w:t>
      </w:r>
      <w:hyperlink r:id="rId30">
        <w:r>
          <w:rPr>
            <w:rStyle w:val="Hyperlink"/>
          </w:rPr>
          <w:t xml:space="preserve">[31]</w:t>
        </w:r>
      </w:hyperlink>
      <w:r>
        <w:t xml:space="preserve"> </w:t>
      </w:r>
      <w:r>
        <w:t xml:space="preserve">Chapter 11: APP 11 Security of personal information | OAIC</w:t>
      </w:r>
    </w:p>
    <w:p>
      <w:pPr>
        <w:pStyle w:val="BodyText"/>
      </w:pPr>
      <w:hyperlink r:id="rId30">
        <w:r>
          <w:rPr>
            <w:rStyle w:val="Hyperlink"/>
          </w:rPr>
          <w:t xml:space="preserve">https://www.oaic.gov.au/privacy/australian-privacy-principles/australian-privacy-principles-guidelines/chapter-11-app-11-security-of-personal-information?utm_source=chatgpt.com</w:t>
        </w:r>
      </w:hyperlink>
    </w:p>
    <w:p>
      <w:pPr>
        <w:pStyle w:val="BodyText"/>
      </w:pPr>
      <w:hyperlink r:id="rId31">
        <w:r>
          <w:rPr>
            <w:rStyle w:val="Hyperlink"/>
          </w:rPr>
          <w:t xml:space="preserve">[20]</w:t>
        </w:r>
      </w:hyperlink>
      <w:r>
        <w:t xml:space="preserve"> </w:t>
      </w:r>
      <w:r>
        <w:t xml:space="preserve">Chapter 1: APP 1 Open and transparent management of personal information | OAIC</w:t>
      </w:r>
    </w:p>
    <w:p>
      <w:pPr>
        <w:pStyle w:val="BodyText"/>
      </w:pPr>
      <w:hyperlink r:id="rId31">
        <w:r>
          <w:rPr>
            <w:rStyle w:val="Hyperlink"/>
          </w:rPr>
          <w:t xml:space="preserve">https://www.oaic.gov.au/privacy/australian-privacy-principles/australian-privacy-principles-guidelines/chapter-1-app-1-open-and-transparent-management-of-personal-information?utm_source=chatgpt.com</w:t>
        </w:r>
      </w:hyperlink>
    </w:p>
    <w:p>
      <w:pPr>
        <w:pStyle w:val="BodyText"/>
      </w:pPr>
      <w:hyperlink r:id="rId32">
        <w:r>
          <w:rPr>
            <w:rStyle w:val="Hyperlink"/>
          </w:rPr>
          <w:t xml:space="preserve">[22]</w:t>
        </w:r>
      </w:hyperlink>
      <w:r>
        <w:t xml:space="preserve"> </w:t>
      </w:r>
      <w:r>
        <w:t xml:space="preserve">The Open Source AI Definition – 1.0 – Open Source Initiative</w:t>
      </w:r>
    </w:p>
    <w:p>
      <w:pPr>
        <w:pStyle w:val="BodyText"/>
      </w:pPr>
      <w:hyperlink r:id="rId32">
        <w:r>
          <w:rPr>
            <w:rStyle w:val="Hyperlink"/>
          </w:rPr>
          <w:t xml:space="preserve">https://opensource.org/ai/open-source-ai-definition?utm_source=chatgpt.com</w:t>
        </w:r>
      </w:hyperlink>
    </w:p>
    <w:p>
      <w:pPr>
        <w:pStyle w:val="BodyText"/>
      </w:pPr>
      <w:hyperlink r:id="rId34">
        <w:r>
          <w:rPr>
            <w:rStyle w:val="Hyperlink"/>
          </w:rPr>
          <w:t xml:space="preserve">[23]</w:t>
        </w:r>
      </w:hyperlink>
      <w:r>
        <w:t xml:space="preserve"> </w:t>
      </w:r>
      <w:r>
        <w:t xml:space="preserve">FAQ — NVIDIA Mission Control Software with GB200/GB300 NVL72 Systems Administration Guide</w:t>
      </w:r>
    </w:p>
    <w:p>
      <w:pPr>
        <w:pStyle w:val="BodyText"/>
      </w:pPr>
      <w:hyperlink r:id="rId34">
        <w:r>
          <w:rPr>
            <w:rStyle w:val="Hyperlink"/>
          </w:rPr>
          <w:t xml:space="preserve">https://docs.nvidia.com/mission-control/docs/systems-administration-guide/2.1.0/prs/faq.html?utm_source=chatgpt.com</w:t>
        </w:r>
      </w:hyperlink>
    </w:p>
    <w:p>
      <w:pPr>
        <w:pStyle w:val="BodyText"/>
      </w:pPr>
      <w:hyperlink r:id="rId36">
        <w:r>
          <w:rPr>
            <w:rStyle w:val="Hyperlink"/>
          </w:rPr>
          <w:t xml:space="preserve">[25]</w:t>
        </w:r>
      </w:hyperlink>
      <w:r>
        <w:t xml:space="preserve"> </w:t>
      </w:r>
      <w:r>
        <w:t xml:space="preserve">Local Government Areas | Australian Bureau of Statistics</w:t>
      </w:r>
    </w:p>
    <w:p>
      <w:pPr>
        <w:pStyle w:val="BodyText"/>
      </w:pPr>
      <w:hyperlink r:id="rId36">
        <w:r>
          <w:rPr>
            <w:rStyle w:val="Hyperlink"/>
          </w:rPr>
          <w:t xml:space="preserve">https://www.abs.gov.au/statistics/standards/australian-statistical-geography-standard-asgs/edition-3-july-2021-june-2026/non-abs-structures/local-government-areas?utm_source=chatgpt.com</w:t>
        </w:r>
      </w:hyperlink>
    </w:p>
    <w:p>
      <w:pPr>
        <w:pStyle w:val="BodyText"/>
      </w:pPr>
      <w:hyperlink r:id="rId37">
        <w:r>
          <w:rPr>
            <w:rStyle w:val="Hyperlink"/>
          </w:rPr>
          <w:t xml:space="preserve">[26]</w:t>
        </w:r>
      </w:hyperlink>
      <w:r>
        <w:t xml:space="preserve"> </w:t>
      </w:r>
      <w:r>
        <w:t xml:space="preserve">The deterrence advantage of nuclear-powered submarines in a contested Indo-Pacific – Parliament of Australia</w:t>
      </w:r>
    </w:p>
    <w:p>
      <w:pPr>
        <w:pStyle w:val="BodyText"/>
      </w:pPr>
      <w:hyperlink r:id="rId37">
        <w:r>
          <w:rPr>
            <w:rStyle w:val="Hyperlink"/>
          </w:rPr>
          <w:t xml:space="preserve">https://www.aph.gov.au/About_Parliament/Parliamentary_departments/Parliamentary_Library/Research/Research_Papers/2024-25/The_deterrence_advantage_of_nuclear_powered_submarines?utm_source=chatgpt.com</w:t>
        </w:r>
      </w:hyperlink>
    </w:p>
    <w:p>
      <w:pPr>
        <w:pStyle w:val="BodyText"/>
      </w:pPr>
      <w:hyperlink r:id="rId38">
        <w:r>
          <w:rPr>
            <w:rStyle w:val="Hyperlink"/>
          </w:rPr>
          <w:t xml:space="preserve">[27]</w:t>
        </w:r>
      </w:hyperlink>
      <w:r>
        <w:t xml:space="preserve"> </w:t>
      </w:r>
      <w:r>
        <w:t xml:space="preserve">National Artificial Intelligence Research Resource | NSF - U.S. National Science Foundation</w:t>
      </w:r>
    </w:p>
    <w:p>
      <w:pPr>
        <w:pStyle w:val="BodyText"/>
      </w:pPr>
      <w:hyperlink r:id="rId38">
        <w:r>
          <w:rPr>
            <w:rStyle w:val="Hyperlink"/>
          </w:rPr>
          <w:t xml:space="preserve">https://www.nsf.gov/focus-areas/ai/nairr?utm_source=chatgpt.com</w:t>
        </w:r>
      </w:hyperlink>
    </w:p>
    <w:p>
      <w:pPr>
        <w:pStyle w:val="BodyText"/>
      </w:pPr>
      <w:hyperlink r:id="rId39">
        <w:r>
          <w:rPr>
            <w:rStyle w:val="Hyperlink"/>
          </w:rPr>
          <w:t xml:space="preserve">[28]</w:t>
        </w:r>
      </w:hyperlink>
      <w:r>
        <w:t xml:space="preserve"> </w:t>
      </w:r>
      <w:r>
        <w:t xml:space="preserve">Starlink | Starlink Version 3 Satellites</w:t>
      </w:r>
    </w:p>
    <w:p>
      <w:pPr>
        <w:pStyle w:val="BodyText"/>
      </w:pPr>
      <w:hyperlink r:id="rId39">
        <w:r>
          <w:rPr>
            <w:rStyle w:val="Hyperlink"/>
          </w:rPr>
          <w:t xml:space="preserve">https://starlink.com/updates/starlink-version-3-satellites?utm_source=chatgpt.com</w:t>
        </w:r>
      </w:hyperlink>
    </w:p>
    <w:p>
      <w:pPr>
        <w:pStyle w:val="BodyText"/>
      </w:pPr>
      <w:hyperlink r:id="rId40">
        <w:r>
          <w:rPr>
            <w:rStyle w:val="Hyperlink"/>
          </w:rPr>
          <w:t xml:space="preserve">[29]</w:t>
        </w:r>
      </w:hyperlink>
      <w:r>
        <w:t xml:space="preserve"> </w:t>
      </w:r>
      <w:r>
        <w:t xml:space="preserve">Inquiries accepting Submissions – Parliament of Australia</w:t>
      </w:r>
    </w:p>
    <w:p>
      <w:pPr>
        <w:pStyle w:val="BodyText"/>
      </w:pPr>
      <w:hyperlink r:id="rId40">
        <w:r>
          <w:rPr>
            <w:rStyle w:val="Hyperlink"/>
          </w:rPr>
          <w:t xml:space="preserve">https://www.aph.gov.au/Parliamentary_Business/Committees/Submissions_Open?utm_source=chatgpt.com</w:t>
        </w:r>
      </w:hyperlink>
    </w:p>
    <w:p>
      <w:pPr>
        <w:pStyle w:val="BodyText"/>
      </w:pPr>
      <w:hyperlink r:id="rId42">
        <w:r>
          <w:rPr>
            <w:rStyle w:val="Hyperlink"/>
          </w:rPr>
          <w:t xml:space="preserve">[32]</w:t>
        </w:r>
      </w:hyperlink>
      <w:r>
        <w:t xml:space="preserve"> </w:t>
      </w:r>
      <w:r>
        <w:t xml:space="preserve">Framework for Governance of Indigenous Data (GID) | NIAA</w:t>
      </w:r>
    </w:p>
    <w:p>
      <w:pPr>
        <w:pStyle w:val="BodyText"/>
      </w:pPr>
      <w:hyperlink r:id="rId42">
        <w:r>
          <w:rPr>
            <w:rStyle w:val="Hyperlink"/>
          </w:rPr>
          <w:t xml:space="preserve">https://www.niaa.gov.au/our-work/data-evaluation-and-research/framework-governance-indigenous-data-gid?utm_source=chatgpt.com</w:t>
        </w:r>
      </w:hyperlink>
    </w:p>
    <w:bookmarkEnd w:id="4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https://auraofintelligence.github.io/gajra-earth-claude-build/" TargetMode="External" /><Relationship Type="http://schemas.openxmlformats.org/officeDocument/2006/relationships/hyperlink" Id="rId12" Target="https://auraofintelligence.github.io/grain-by-grain-documentary/" TargetMode="External" /><Relationship Type="http://schemas.openxmlformats.org/officeDocument/2006/relationships/hyperlink" Id="rId13" Target="https://auraofintelligence.github.io/strange-but-true/community-ledger.html" TargetMode="External" /><Relationship Type="http://schemas.openxmlformats.org/officeDocument/2006/relationships/hyperlink" Id="rId34" Target="https://docs.nvidia.com/mission-control/docs/systems-administration-guide/2.1.0/prs/faq.html?utm_source=chatgpt.com" TargetMode="External" /><Relationship Type="http://schemas.openxmlformats.org/officeDocument/2006/relationships/hyperlink" Id="rId32" Target="https://opensource.org/ai/open-source-ai-definition?utm_source=chatgpt.com" TargetMode="External" /><Relationship Type="http://schemas.openxmlformats.org/officeDocument/2006/relationships/hyperlink" Id="rId39" Target="https://starlink.com/updates/starlink-version-3-satellites?utm_source=chatgpt.com" TargetMode="External" /><Relationship Type="http://schemas.openxmlformats.org/officeDocument/2006/relationships/hyperlink" Id="rId36" Target="https://www.abs.gov.au/statistics/standards/australian-statistical-geography-standard-asgs/edition-3-july-2021-june-2026/non-abs-structures/local-government-areas?utm_source=chatgpt.com" TargetMode="External" /><Relationship Type="http://schemas.openxmlformats.org/officeDocument/2006/relationships/hyperlink" Id="rId21" Target="https://www.abs.gov.au/statistics/standards/australian-statistical-geography-standard-asgs/edition-3-july-2021-june-2026/non-abs-structures?utm_source=chatgpt.com" TargetMode="External" /><Relationship Type="http://schemas.openxmlformats.org/officeDocument/2006/relationships/hyperlink" Id="rId37" Target="https://www.aph.gov.au/About_Parliament/Parliamentary_departments/Parliamentary_Library/Research/Research_Papers/2024-25/The_deterrence_advantage_of_nuclear_powered_submarines?utm_source=chatgpt.com" TargetMode="External" /><Relationship Type="http://schemas.openxmlformats.org/officeDocument/2006/relationships/hyperlink" Id="rId10" Target="https://www.aph.gov.au/Parliamentary_Business/Committees/Senate/Environment_and_Communications/AIdatacentres48P?utm_source=chatgpt.com" TargetMode="External" /><Relationship Type="http://schemas.openxmlformats.org/officeDocument/2006/relationships/hyperlink" Id="rId40" Target="https://www.aph.gov.au/Parliamentary_Business/Committees/Submissions_Open?utm_source=chatgpt.com" TargetMode="External" /><Relationship Type="http://schemas.openxmlformats.org/officeDocument/2006/relationships/hyperlink" Id="rId26" Target="https://www.industry.gov.au/news/australia-and-singapore-show-compatibility-between-ai-governance-frameworks?utm_source=chatgpt.com" TargetMode="External" /><Relationship Type="http://schemas.openxmlformats.org/officeDocument/2006/relationships/hyperlink" Id="rId19" Target="https://www.industry.gov.au/news/australia-establish-new-institute-strengthen-ai-safety?utm_source=chatgpt.com" TargetMode="External" /><Relationship Type="http://schemas.openxmlformats.org/officeDocument/2006/relationships/hyperlink" Id="rId18" Target="https://www.industry.gov.au/news/australia-signs-pax-silica-declaration-secure-our-digital-future?utm_source=chatgpt.com" TargetMode="External" /><Relationship Type="http://schemas.openxmlformats.org/officeDocument/2006/relationships/hyperlink" Id="rId11" Target="https://www.industry.gov.au/publications/expectations-data-centres-and-ai-infrastructure-developers?utm_source=chatgpt.com" TargetMode="External" /><Relationship Type="http://schemas.openxmlformats.org/officeDocument/2006/relationships/hyperlink" Id="rId17" Target="https://www.minister.industry.gov.au/charlton/media/7-billion-infrastructure-deal-boost-ai-australia?utm_source=chatgpt.com" TargetMode="External" /><Relationship Type="http://schemas.openxmlformats.org/officeDocument/2006/relationships/hyperlink" Id="rId16" Target="https://www.minister.industry.gov.au/ministers/timayres/media-releases/future-ready-workforce-one-million-aussies-get-free-ai-skills-training?utm_source=chatgpt.com" TargetMode="External" /><Relationship Type="http://schemas.openxmlformats.org/officeDocument/2006/relationships/hyperlink" Id="rId15" Target="https://www.minister.industry.gov.au/t-ayres/media/national-ai-plan-empowering-all-australians?utm_source=chatgpt.com" TargetMode="External" /><Relationship Type="http://schemas.openxmlformats.org/officeDocument/2006/relationships/hyperlink" Id="rId23" Target="https://www.niaa.gov.au/2023-commonwealth-closing-gap-implementation-plan/changing-way-we-work/priority-reform-four-shared-access-data-and-information?utm_source=chatgpt.com" TargetMode="External" /><Relationship Type="http://schemas.openxmlformats.org/officeDocument/2006/relationships/hyperlink" Id="rId24" Target="https://www.niaa.gov.au/artificial-intelligence-ai-transparency-statement-2026?utm_source=chatgpt.com" TargetMode="External" /><Relationship Type="http://schemas.openxmlformats.org/officeDocument/2006/relationships/hyperlink" Id="rId22" Target="https://www.niaa.gov.au/news-and-media/framework-governance-indigenous-data?utm_source=chatgpt.com" TargetMode="External" /><Relationship Type="http://schemas.openxmlformats.org/officeDocument/2006/relationships/hyperlink" Id="rId42" Target="https://www.niaa.gov.au/our-work/data-evaluation-and-research/framework-governance-indigenous-data-gid?utm_source=chatgpt.com" TargetMode="External" /><Relationship Type="http://schemas.openxmlformats.org/officeDocument/2006/relationships/hyperlink" Id="rId38" Target="https://www.nsf.gov/focus-areas/ai/nairr?utm_source=chatgpt.com" TargetMode="External" /><Relationship Type="http://schemas.openxmlformats.org/officeDocument/2006/relationships/hyperlink" Id="rId31" Target="https://www.oaic.gov.au/privacy/australian-privacy-principles/australian-privacy-principles-guidelines/chapter-1-app-1-open-and-transparent-management-of-personal-information?utm_source=chatgpt.com" TargetMode="External" /><Relationship Type="http://schemas.openxmlformats.org/officeDocument/2006/relationships/hyperlink" Id="rId30" Target="https://www.oaic.gov.au/privacy/australian-privacy-principles/australian-privacy-principles-guidelines/chapter-11-app-11-security-of-personal-information?utm_source=chatgpt.com" TargetMode="External" /><Relationship Type="http://schemas.openxmlformats.org/officeDocument/2006/relationships/hyperlink" Id="rId29" Target="https://www.oaic.gov.au/privacy/your-privacy-rights/your-personal-information/consent-to-the-handling-of-personal-information?utm_source=chatgpt.com" TargetMode="External" /><Relationship Type="http://schemas.openxmlformats.org/officeDocument/2006/relationships/hyperlink" Id="rId27" Target="https://www.pm.gov.au/media/ai-australias-interests?utm_source=chatgpt.com" TargetMode="External" /></Relationships>
</file>

<file path=word/_rels/footnotes.xml.rels><?xml version="1.0" encoding="UTF-8"?><Relationships xmlns="http://schemas.openxmlformats.org/package/2006/relationships"><Relationship Type="http://schemas.openxmlformats.org/officeDocument/2006/relationships/hyperlink" Id="rId28" Target="https://auraofintelligence.github.io/gajra-earth-claude-build/" TargetMode="External" /><Relationship Type="http://schemas.openxmlformats.org/officeDocument/2006/relationships/hyperlink" Id="rId12" Target="https://auraofintelligence.github.io/grain-by-grain-documentary/" TargetMode="External" /><Relationship Type="http://schemas.openxmlformats.org/officeDocument/2006/relationships/hyperlink" Id="rId13" Target="https://auraofintelligence.github.io/strange-but-true/community-ledger.html" TargetMode="External" /><Relationship Type="http://schemas.openxmlformats.org/officeDocument/2006/relationships/hyperlink" Id="rId34" Target="https://docs.nvidia.com/mission-control/docs/systems-administration-guide/2.1.0/prs/faq.html?utm_source=chatgpt.com" TargetMode="External" /><Relationship Type="http://schemas.openxmlformats.org/officeDocument/2006/relationships/hyperlink" Id="rId32" Target="https://opensource.org/ai/open-source-ai-definition?utm_source=chatgpt.com" TargetMode="External" /><Relationship Type="http://schemas.openxmlformats.org/officeDocument/2006/relationships/hyperlink" Id="rId39" Target="https://starlink.com/updates/starlink-version-3-satellites?utm_source=chatgpt.com" TargetMode="External" /><Relationship Type="http://schemas.openxmlformats.org/officeDocument/2006/relationships/hyperlink" Id="rId36" Target="https://www.abs.gov.au/statistics/standards/australian-statistical-geography-standard-asgs/edition-3-july-2021-june-2026/non-abs-structures/local-government-areas?utm_source=chatgpt.com" TargetMode="External" /><Relationship Type="http://schemas.openxmlformats.org/officeDocument/2006/relationships/hyperlink" Id="rId21" Target="https://www.abs.gov.au/statistics/standards/australian-statistical-geography-standard-asgs/edition-3-july-2021-june-2026/non-abs-structures?utm_source=chatgpt.com" TargetMode="External" /><Relationship Type="http://schemas.openxmlformats.org/officeDocument/2006/relationships/hyperlink" Id="rId37" Target="https://www.aph.gov.au/About_Parliament/Parliamentary_departments/Parliamentary_Library/Research/Research_Papers/2024-25/The_deterrence_advantage_of_nuclear_powered_submarines?utm_source=chatgpt.com" TargetMode="External" /><Relationship Type="http://schemas.openxmlformats.org/officeDocument/2006/relationships/hyperlink" Id="rId10" Target="https://www.aph.gov.au/Parliamentary_Business/Committees/Senate/Environment_and_Communications/AIdatacentres48P?utm_source=chatgpt.com" TargetMode="External" /><Relationship Type="http://schemas.openxmlformats.org/officeDocument/2006/relationships/hyperlink" Id="rId40" Target="https://www.aph.gov.au/Parliamentary_Business/Committees/Submissions_Open?utm_source=chatgpt.com" TargetMode="External" /><Relationship Type="http://schemas.openxmlformats.org/officeDocument/2006/relationships/hyperlink" Id="rId26" Target="https://www.industry.gov.au/news/australia-and-singapore-show-compatibility-between-ai-governance-frameworks?utm_source=chatgpt.com" TargetMode="External" /><Relationship Type="http://schemas.openxmlformats.org/officeDocument/2006/relationships/hyperlink" Id="rId19" Target="https://www.industry.gov.au/news/australia-establish-new-institute-strengthen-ai-safety?utm_source=chatgpt.com" TargetMode="External" /><Relationship Type="http://schemas.openxmlformats.org/officeDocument/2006/relationships/hyperlink" Id="rId18" Target="https://www.industry.gov.au/news/australia-signs-pax-silica-declaration-secure-our-digital-future?utm_source=chatgpt.com" TargetMode="External" /><Relationship Type="http://schemas.openxmlformats.org/officeDocument/2006/relationships/hyperlink" Id="rId11" Target="https://www.industry.gov.au/publications/expectations-data-centres-and-ai-infrastructure-developers?utm_source=chatgpt.com" TargetMode="External" /><Relationship Type="http://schemas.openxmlformats.org/officeDocument/2006/relationships/hyperlink" Id="rId17" Target="https://www.minister.industry.gov.au/charlton/media/7-billion-infrastructure-deal-boost-ai-australia?utm_source=chatgpt.com" TargetMode="External" /><Relationship Type="http://schemas.openxmlformats.org/officeDocument/2006/relationships/hyperlink" Id="rId16" Target="https://www.minister.industry.gov.au/ministers/timayres/media-releases/future-ready-workforce-one-million-aussies-get-free-ai-skills-training?utm_source=chatgpt.com" TargetMode="External" /><Relationship Type="http://schemas.openxmlformats.org/officeDocument/2006/relationships/hyperlink" Id="rId15" Target="https://www.minister.industry.gov.au/t-ayres/media/national-ai-plan-empowering-all-australians?utm_source=chatgpt.com" TargetMode="External" /><Relationship Type="http://schemas.openxmlformats.org/officeDocument/2006/relationships/hyperlink" Id="rId23" Target="https://www.niaa.gov.au/2023-commonwealth-closing-gap-implementation-plan/changing-way-we-work/priority-reform-four-shared-access-data-and-information?utm_source=chatgpt.com" TargetMode="External" /><Relationship Type="http://schemas.openxmlformats.org/officeDocument/2006/relationships/hyperlink" Id="rId24" Target="https://www.niaa.gov.au/artificial-intelligence-ai-transparency-statement-2026?utm_source=chatgpt.com" TargetMode="External" /><Relationship Type="http://schemas.openxmlformats.org/officeDocument/2006/relationships/hyperlink" Id="rId22" Target="https://www.niaa.gov.au/news-and-media/framework-governance-indigenous-data?utm_source=chatgpt.com" TargetMode="External" /><Relationship Type="http://schemas.openxmlformats.org/officeDocument/2006/relationships/hyperlink" Id="rId42" Target="https://www.niaa.gov.au/our-work/data-evaluation-and-research/framework-governance-indigenous-data-gid?utm_source=chatgpt.com" TargetMode="External" /><Relationship Type="http://schemas.openxmlformats.org/officeDocument/2006/relationships/hyperlink" Id="rId38" Target="https://www.nsf.gov/focus-areas/ai/nairr?utm_source=chatgpt.com" TargetMode="External" /><Relationship Type="http://schemas.openxmlformats.org/officeDocument/2006/relationships/hyperlink" Id="rId31" Target="https://www.oaic.gov.au/privacy/australian-privacy-principles/australian-privacy-principles-guidelines/chapter-1-app-1-open-and-transparent-management-of-personal-information?utm_source=chatgpt.com" TargetMode="External" /><Relationship Type="http://schemas.openxmlformats.org/officeDocument/2006/relationships/hyperlink" Id="rId30" Target="https://www.oaic.gov.au/privacy/australian-privacy-principles/australian-privacy-principles-guidelines/chapter-11-app-11-security-of-personal-information?utm_source=chatgpt.com" TargetMode="External" /><Relationship Type="http://schemas.openxmlformats.org/officeDocument/2006/relationships/hyperlink" Id="rId29" Target="https://www.oaic.gov.au/privacy/your-privacy-rights/your-personal-information/consent-to-the-handling-of-personal-information?utm_source=chatgpt.com" TargetMode="External" /><Relationship Type="http://schemas.openxmlformats.org/officeDocument/2006/relationships/hyperlink" Id="rId27" Target="https://www.pm.gov.au/media/ai-australias-interests?utm_source=chatgp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