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header"/>
    <w:bookmarkEnd w:id="9"/>
    <w:bookmarkStart w:id="53" w:name="content"/>
    <w:bookmarkStart w:id="52" w:name="X76d42b5b83e0104e43efb5db5835a3f6567dc5a"/>
    <w:p>
      <w:pPr>
        <w:pStyle w:val="Heading1"/>
      </w:pPr>
      <w:r>
        <w:t xml:space="preserve">GAJRA Earth Civic AI Commons: Business Plan for an A$250 Billion Protopian Gambit</w:t>
      </w:r>
    </w:p>
    <w:bookmarkStart w:id="15" w:name="executive-investment-thesis"/>
    <w:p>
      <w:pPr>
        <w:pStyle w:val="Heading2"/>
      </w:pPr>
      <w:r>
        <w:t xml:space="preserve">Executive investment thesis</w:t>
      </w:r>
    </w:p>
    <w:p>
      <w:pPr>
        <w:pStyle w:val="FirstParagraph"/>
      </w:pPr>
      <w:r>
        <w:t xml:space="preserve">The strongest version of the proposal in the uploaded material is not “build 44,000 miniature hyperscale data centres”, nor “buy 44,000 identical NVIDIA racks”, nor “put AI on a blockchain”. It is more interesting than that:</w:t>
      </w:r>
    </w:p>
    <w:p>
      <w:pPr>
        <w:pStyle w:val="BlockText"/>
      </w:pPr>
      <w:r>
        <w:rPr>
          <w:b/>
          <w:bCs/>
        </w:rPr>
        <w:t xml:space="preserve">Create a globally federated civic-compute layer, physically rooted in roughly 44,000 human-scale communities, sitting between personal/neighbourhood edge intelligence and national/hyperscale compute, so that people and communities can participate in frontier AI without surrendering all data, capability, skills or governance upwards.</w:t>
      </w:r>
    </w:p>
    <w:p>
      <w:pPr>
        <w:pStyle w:val="FirstParagraph"/>
      </w:pPr>
      <w:r>
        <w:t xml:space="preserve">That proposition is already substantially present across the two Australian AI-infrastructure submissions. They describe a compute continuum from personal AI and neighbourhood systems through postcode/local compute to state, national, hyperscale, quantum and potentially orbital layers; they explicitly frame the objective as</w:t>
      </w:r>
      <w:r>
        <w:t xml:space="preserve"> </w:t>
      </w:r>
      <w:r>
        <w:rPr>
          <w:b/>
          <w:bCs/>
        </w:rPr>
        <w:t xml:space="preserve">“sovereignty without isolation”</w:t>
      </w:r>
      <w:r>
        <w:t xml:space="preserve">, rather than technological autarky. fileciteturn0file0 fileciteturn0file1 CSIRO's May 2026 Vetra deployment gives the architecture a useful real-world Australian precedent: CSIRO calls it “sovereign, trusted AI computing at the edge”, places high-performance compute physically near robots and sensors, and explicitly integrates it with central supercomputers rather than presenting edge and core as alternatives.</w:t>
      </w:r>
      <w:r>
        <w:t xml:space="preserve"> </w:t>
      </w:r>
      <w:hyperlink r:id="rId10">
        <w:r>
          <w:rPr>
            <w:rStyle w:val="Hyperlink"/>
          </w:rPr>
          <w:t xml:space="preserve">[1]</w:t>
        </w:r>
      </w:hyperlink>
    </w:p>
    <w:p>
      <w:pPr>
        <w:pStyle w:val="BodyText"/>
      </w:pPr>
      <w:r>
        <w:t xml:space="preserve">I would therefore define the investment proposition as:</w:t>
      </w:r>
    </w:p>
    <w:p>
      <w:pPr>
        <w:pStyle w:val="BodyText"/>
      </w:pPr>
      <w:r>
        <w:rPr>
          <w:b/>
          <w:bCs/>
        </w:rPr>
        <w:t xml:space="preserve">A$250 billion of catalytic capital to establish a permanent Global Civic AI Commons, targeting approximately 44,000 locally sovereign Civic Compute Hubs by 2035, each with a replaceable accelerator service class approximately equivalent to a contemporary GB300 NVL72-class rack, while mobilising roughly A$100–150 billion of additional national, municipal, utility, development-bank, university, vendor and commercial capital.</w:t>
      </w:r>
    </w:p>
    <w:p>
      <w:pPr>
        <w:pStyle w:val="BodyText"/>
      </w:pPr>
      <w:r>
        <w:t xml:space="preserve">The distinction between</w:t>
      </w:r>
      <w:r>
        <w:t xml:space="preserve"> </w:t>
      </w:r>
      <w:r>
        <w:rPr>
          <w:b/>
          <w:bCs/>
        </w:rPr>
        <w:t xml:space="preserve">fund size</w:t>
      </w:r>
      <w:r>
        <w:t xml:space="preserve"> </w:t>
      </w:r>
      <w:r>
        <w:t xml:space="preserve">and</w:t>
      </w:r>
      <w:r>
        <w:t xml:space="preserve"> </w:t>
      </w:r>
      <w:r>
        <w:rPr>
          <w:b/>
          <w:bCs/>
        </w:rPr>
        <w:t xml:space="preserve">gross project value</w:t>
      </w:r>
      <w:r>
        <w:t xml:space="preserve"> </w:t>
      </w:r>
      <w:r>
        <w:t xml:space="preserve">is essential. Your uploaded world-cities calculation is internally sound as a thought experiment: 44,000 × A$6 million = A$264 billion, while the 41,549 places in the supplied dataset with recorded populations of at least 9,000 yield approximately A$249.3 billion. fileciteturn0file1 My independent analysis of the uploaded</w:t>
      </w:r>
      <w:r>
        <w:t xml:space="preserve"> </w:t>
      </w:r>
      <w:r>
        <w:rPr>
          <w:rStyle w:val="VerbatimChar"/>
        </w:rPr>
        <w:t xml:space="preserve">worldcities(2).csv</w:t>
      </w:r>
      <w:r>
        <w:t xml:space="preserve"> </w:t>
      </w:r>
      <w:r>
        <w:t xml:space="preserve">reproduces that 41,549 count; the file contains 44,691 place records in total, of which 307 have no population figure.</w:t>
      </w:r>
    </w:p>
    <w:p>
      <w:pPr>
        <w:pStyle w:val="BodyText"/>
      </w:pPr>
      <w:r>
        <w:t xml:space="preserve">But</w:t>
      </w:r>
      <w:r>
        <w:t xml:space="preserve"> </w:t>
      </w:r>
      <w:r>
        <w:rPr>
          <w:b/>
          <w:bCs/>
        </w:rPr>
        <w:t xml:space="preserve">A$250 billion is not enough to purchase and fully install 44,000 literal 2026 GB300 NVL72 racks today</w:t>
      </w:r>
      <w:r>
        <w:t xml:space="preserve">. NVIDIA's current GB300 NVL72 has 72 Blackwell Ultra GPUs, 36 Grace CPUs, 130 TB/s of NVLink bandwidth and 37 TB of fast memory; NVIDIA's enterprise reference architecture says a full rack can require up to 142 kW and eight 33 kW power shelves.</w:t>
      </w:r>
      <w:r>
        <w:t xml:space="preserve"> </w:t>
      </w:r>
      <w:hyperlink r:id="rId11">
        <w:r>
          <w:rPr>
            <w:rStyle w:val="Hyperlink"/>
          </w:rPr>
          <w:t xml:space="preserve">[2]</w:t>
        </w:r>
      </w:hyperlink>
      <w:r>
        <w:t xml:space="preserve"> </w:t>
      </w:r>
      <w:r>
        <w:t xml:space="preserve">NVIDIA does not publish a simple list price on that product page. Market reports in 2026 have put GB300 NVL72 racks at approximately US$3.5 million in one large Oracle procurement and around US$4.3 million in Wolfe Research's supply-chain estimates.</w:t>
      </w:r>
      <w:r>
        <w:t xml:space="preserve"> </w:t>
      </w:r>
      <w:hyperlink r:id="rId12">
        <w:r>
          <w:rPr>
            <w:rStyle w:val="Hyperlink"/>
          </w:rPr>
          <w:t xml:space="preserve">[3]</w:t>
        </w:r>
      </w:hyperlink>
      <w:r>
        <w:t xml:space="preserve"> </w:t>
      </w:r>
      <w:r>
        <w:t xml:space="preserve">At the RBA's 31 July 2026 AUD/USD rate of 0.7030, that corresponds to roughly</w:t>
      </w:r>
      <w:r>
        <w:t xml:space="preserve"> </w:t>
      </w:r>
      <w:r>
        <w:rPr>
          <w:b/>
          <w:bCs/>
        </w:rPr>
        <w:t xml:space="preserve">A$5.0–6.1 million for the rack alone</w:t>
      </w:r>
      <w:r>
        <w:t xml:space="preserve">, before electrical works, heat rejection, networking, storage, fire protection, physical security, installation, training, spares and operations.</w:t>
      </w:r>
      <w:r>
        <w:t xml:space="preserve"> </w:t>
      </w:r>
      <w:hyperlink r:id="rId13">
        <w:r>
          <w:rPr>
            <w:rStyle w:val="Hyperlink"/>
          </w:rPr>
          <w:t xml:space="preserve">[4]</w:t>
        </w:r>
      </w:hyperlink>
    </w:p>
    <w:p>
      <w:pPr>
        <w:pStyle w:val="BodyText"/>
      </w:pPr>
      <w:r>
        <w:t xml:space="preserve">The crucial business insight is therefore:</w:t>
      </w:r>
    </w:p>
    <w:p>
      <w:pPr>
        <w:pStyle w:val="BlockText"/>
      </w:pPr>
      <w:r>
        <w:rPr>
          <w:b/>
          <w:bCs/>
        </w:rPr>
        <w:t xml:space="preserve">Finance the socket, not the chip.</w:t>
      </w:r>
    </w:p>
    <w:p>
      <w:pPr>
        <w:pStyle w:val="FirstParagraph"/>
      </w:pPr>
      <w:r>
        <w:t xml:space="preserve">The durable asset is the locally governed, liquid-cooling-ready, high-bandwidth, secure</w:t>
      </w:r>
      <w:r>
        <w:t xml:space="preserve"> </w:t>
      </w:r>
      <w:r>
        <w:rPr>
          <w:b/>
          <w:bCs/>
        </w:rPr>
        <w:t xml:space="preserve">Civic Compute Port</w:t>
      </w:r>
      <w:r>
        <w:t xml:space="preserve">: its power connection, cooling loop, backhaul, resilience systems, workshop, governance, trained workforce and interoperable software environment. Accelerators are leased, refreshed and competitively replaced inside that port. “GB300-equivalent” should describe a</w:t>
      </w:r>
      <w:r>
        <w:t xml:space="preserve"> </w:t>
      </w:r>
      <w:r>
        <w:rPr>
          <w:b/>
          <w:bCs/>
        </w:rPr>
        <w:t xml:space="preserve">capability benchmark</w:t>
      </w:r>
      <w:r>
        <w:t xml:space="preserve">, not freeze a 2026 NVIDIA product into a ten-year global infrastructure programme.</w:t>
      </w:r>
    </w:p>
    <w:p>
      <w:pPr>
        <w:pStyle w:val="BodyText"/>
      </w:pPr>
      <w:r>
        <w:t xml:space="preserve">That makes the Protopian Gambit much stronger. AI's technological trajectory is too fast for a A$250 billion programme to make one enormous irreversible bet on today's hardware topology. Stanford's 2026 AI Index estimates that global AI compute capacity has grown about 3.3 times per year since 2022 to 17.1 million H100-equivalents, while NVIDIA supplies more than 60% and leading-chip fabrication remains extraordinarily concentrated.</w:t>
      </w:r>
      <w:r>
        <w:t xml:space="preserve"> </w:t>
      </w:r>
      <w:hyperlink r:id="rId14">
        <w:r>
          <w:rPr>
            <w:rStyle w:val="Hyperlink"/>
          </w:rPr>
          <w:t xml:space="preserve">[5]</w:t>
        </w:r>
      </w:hyperlink>
      <w:r>
        <w:t xml:space="preserve"> </w:t>
      </w:r>
      <w:r>
        <w:t xml:space="preserve">The rational response is not to predict the winning accelerator in 2032. It is to build</w:t>
      </w:r>
      <w:r>
        <w:t xml:space="preserve"> </w:t>
      </w:r>
      <w:r>
        <w:rPr>
          <w:b/>
          <w:bCs/>
        </w:rPr>
        <w:t xml:space="preserve">optionality, interoperability and local capability</w:t>
      </w:r>
      <w:r>
        <w:t xml:space="preserve"> </w:t>
      </w:r>
      <w:r>
        <w:t xml:space="preserve">that remain useful regardless of which accelerator, model, network architecture or computational paradigm wins.</w:t>
      </w:r>
    </w:p>
    <w:p>
      <w:pPr>
        <w:pStyle w:val="BodyText"/>
      </w:pPr>
      <w:r>
        <w:t xml:space="preserve">This also matches the deepest strand running through the uploads: the</w:t>
      </w:r>
      <w:r>
        <w:t xml:space="preserve"> </w:t>
      </w:r>
      <w:r>
        <w:rPr>
          <w:i/>
          <w:iCs/>
        </w:rPr>
        <w:t xml:space="preserve">Protopian Gambit</w:t>
      </w:r>
      <w:r>
        <w:t xml:space="preserve"> </w:t>
      </w:r>
      <w:r>
        <w:t xml:space="preserve">is not a promise of utopia. It is a deliberate bet that repeated practical improvements, care, capability and cooperation are preferable to passively waiting for exponential technological change to determine social structure for us. The artistic material gives that proposition its emotional language; the business plan must give it institutional discipline. fileciteturn0file6</w:t>
      </w:r>
    </w:p>
    <w:bookmarkEnd w:id="15"/>
    <w:bookmarkStart w:id="22" w:name="what-the-uploaded-corpus-establishes"/>
    <w:p>
      <w:pPr>
        <w:pStyle w:val="Heading2"/>
      </w:pPr>
      <w:r>
        <w:t xml:space="preserve">What the uploaded corpus establishes</w:t>
      </w:r>
    </w:p>
    <w:p>
      <w:pPr>
        <w:pStyle w:val="FirstParagraph"/>
      </w:pPr>
      <w:r>
        <w:t xml:space="preserve">I would treat the uploaded collection as a</w:t>
      </w:r>
      <w:r>
        <w:t xml:space="preserve"> </w:t>
      </w:r>
      <w:r>
        <w:rPr>
          <w:b/>
          <w:bCs/>
        </w:rPr>
        <w:t xml:space="preserve">research programme containing several unusually strong ideas, several hypotheses that need validation, and several elements that should be explicitly quarantined from the investment vehicle</w:t>
      </w:r>
      <w:r>
        <w:t xml:space="preserve">.</w:t>
      </w:r>
    </w:p>
    <w:p>
      <w:pPr>
        <w:pStyle w:val="BodyText"/>
      </w:pPr>
      <w:r>
        <w:t xml:space="preserve">The two parliamentary AI-infrastructure submissions are the best strategic foundation. They argue that hyperscale data centres are valuable but should not become synonymous with AI infrastructure, describe an L0-to-national/global continuum, make local capability transfer at least as important as selling compute cycles, and frame First Nations sovereignty as a plane crossing the stack rather than as a subordinate geographic rung. fileciteturn0file0 fileciteturn0file1 That architecture sits comfortably alongside Australia's current National AI Plan, whose stated goals include spreading AI benefits regardless of location, and the Commonwealth's 2026 Data Centre Expectations, which emphasise sovereignty, energy, water, skills, research and community benefit while expressly not applying to small-scale edge or on-site enterprise data centres.</w:t>
      </w:r>
      <w:r>
        <w:t xml:space="preserve"> </w:t>
      </w:r>
      <w:hyperlink r:id="rId16">
        <w:r>
          <w:rPr>
            <w:rStyle w:val="Hyperlink"/>
          </w:rPr>
          <w:t xml:space="preserve">[6]</w:t>
        </w:r>
      </w:hyperlink>
    </w:p>
    <w:p>
      <w:pPr>
        <w:pStyle w:val="BodyText"/>
      </w:pPr>
      <w:r>
        <w:t xml:space="preserve">The two decentralised-compute papers contribute the useful L0–L3 conceptual gradient and, especially, the analogy of managing compute as we manage water: use the smallest appropriate local reservoir before automatically pumping everything to a distant mega-reservoir. They also correctly emphasise offline/degraded operation, local sensors, community digital twins, distributed learning and locally owned capability. fileciteturn0file3 fileciteturn0file4 There is, however, one engineering correction to make. A neighbourhood disaster kiosk and a 142 kW AI rack have fundamentally different resilience requirements. Rooftop solar and a modest LiFePO4 battery can keep communications, cached models and low-power local inference alive; they cannot be assumed to carry a GB300-class rack indefinitely. The correct emergency architecture is</w:t>
      </w:r>
      <w:r>
        <w:t xml:space="preserve"> </w:t>
      </w:r>
      <w:r>
        <w:rPr>
          <w:b/>
          <w:bCs/>
        </w:rPr>
        <w:t xml:space="preserve">graceful load shedding</w:t>
      </w:r>
      <w:r>
        <w:t xml:space="preserve">: shut down heavy accelerators, preserve storage/network/control planes and L0/L1 services, and restore intensive compute as power becomes available. NVIDIA's actual power envelope makes that distinction unavoidable.</w:t>
      </w:r>
      <w:r>
        <w:t xml:space="preserve"> </w:t>
      </w:r>
      <w:hyperlink r:id="rId17">
        <w:r>
          <w:rPr>
            <w:rStyle w:val="Hyperlink"/>
          </w:rPr>
          <w:t xml:space="preserve">[7]</w:t>
        </w:r>
      </w:hyperlink>
    </w:p>
    <w:p>
      <w:pPr>
        <w:pStyle w:val="BodyText"/>
      </w:pPr>
      <w:r>
        <w:t xml:space="preserve">The Local Government submission, C-Hour legislative documents and international legislative analyses contain the second major pillar: the</w:t>
      </w:r>
      <w:r>
        <w:t xml:space="preserve"> </w:t>
      </w:r>
      <w:r>
        <w:rPr>
          <w:b/>
          <w:bCs/>
        </w:rPr>
        <w:t xml:space="preserve">Incomplete Ledger → Braided Economy → Community Hour</w:t>
      </w:r>
      <w:r>
        <w:t xml:space="preserve"> </w:t>
      </w:r>
      <w:r>
        <w:t xml:space="preserve">progression. The premise is that market accounting is excellent at measuring priced exchange but much less good at representing unpaid care, volunteering, ecological stewardship and other foundational contributions. The proposed solution is not to abolish the market economy but braid it with a reciprocity accounting system in which one verified hour of an eligible community contribution is recognised as one Community Hour. fileciteturn0file10 fileciteturn0file9 fileciteturn0file7 fileciteturn0file8 The underlying problem is real: the ABS's 2024 Time Use Survey reports an average 4 hours 25 minutes of unpaid work among participants, with women who performed unpaid work averaging 4 hours 53 minutes and men 3 hours 52 minutes.</w:t>
      </w:r>
      <w:r>
        <w:t xml:space="preserve"> </w:t>
      </w:r>
      <w:hyperlink r:id="rId18">
        <w:r>
          <w:rPr>
            <w:rStyle w:val="Hyperlink"/>
          </w:rPr>
          <w:t xml:space="preserve">[8]</w:t>
        </w:r>
      </w:hyperlink>
    </w:p>
    <w:p>
      <w:pPr>
        <w:pStyle w:val="BodyText"/>
      </w:pPr>
      <w:r>
        <w:t xml:space="preserve">The time-banking evidence warrants optimism</w:t>
      </w:r>
      <w:r>
        <w:t xml:space="preserve"> </w:t>
      </w:r>
      <w:r>
        <w:rPr>
          <w:b/>
          <w:bCs/>
        </w:rPr>
        <w:t xml:space="preserve">and caution rather than grand claims</w:t>
      </w:r>
      <w:r>
        <w:t xml:space="preserve">. A 2026 PLOS One scoping review found evidence supporting time banking as a potentially useful social-cohesion mechanism, but also found participation barriers and underexplored questions around sustainability and scaling.</w:t>
      </w:r>
      <w:r>
        <w:t xml:space="preserve"> </w:t>
      </w:r>
      <w:hyperlink r:id="rId19">
        <w:r>
          <w:rPr>
            <w:rStyle w:val="Hyperlink"/>
          </w:rPr>
          <w:t xml:space="preserve">[9]</w:t>
        </w:r>
      </w:hyperlink>
      <w:r>
        <w:t xml:space="preserve"> </w:t>
      </w:r>
      <w:r>
        <w:t xml:space="preserve">That supports running the C-Hour as an experimentally evaluated civic institution, not declaring a new macroeconomy solved before the trials begin.</w:t>
      </w:r>
    </w:p>
    <w:p>
      <w:pPr>
        <w:pStyle w:val="BodyText"/>
      </w:pPr>
      <w:r>
        <w:t xml:space="preserve">The SETCo plan contributes an important operational idea: a local co-operative or equivalent can become the workforce and capability engine around a compute node—training people, maintaining systems, connecting schools, universities, local businesses and community organisations, and building portable skills rather than simply importing a sealed box from overseas. fileciteturn0file5 The proposed Dunwich pilot therefore has a more compelling outcome if it produces twenty local people who understand the stack than if it merely produces impressive benchmark scores.</w:t>
      </w:r>
    </w:p>
    <w:p>
      <w:pPr>
        <w:pStyle w:val="BodyText"/>
      </w:pPr>
      <w:r>
        <w:t xml:space="preserve">The Queensland LDPP material makes that pilot unusually timely. The uploaded guidelines define digital infrastructure broadly enough to encompass servers, storage, networking, communications technologies and facilities, with objectives around connectivity, productivity, digital capability, inclusion and skilled employment. fileciteturn0file2 The live Queensland programme currently offers A$1–5 million grants for eligible digital-infrastructure projects, with larger grants potentially considered for projects producing broader regional benefits; applications close on</w:t>
      </w:r>
      <w:r>
        <w:t xml:space="preserve"> </w:t>
      </w:r>
      <w:r>
        <w:rPr>
          <w:b/>
          <w:bCs/>
        </w:rPr>
        <w:t xml:space="preserve">24 August 2026</w:t>
      </w:r>
      <w:r>
        <w:t xml:space="preserve"> </w:t>
      </w:r>
      <w:r>
        <w:t xml:space="preserve">and projects must be capable of completion by 31 December 2028.</w:t>
      </w:r>
      <w:r>
        <w:t xml:space="preserve"> </w:t>
      </w:r>
      <w:hyperlink r:id="rId20">
        <w:r>
          <w:rPr>
            <w:rStyle w:val="Hyperlink"/>
          </w:rPr>
          <w:t xml:space="preserve">[10]</w:t>
        </w:r>
      </w:hyperlink>
      <w:r>
        <w:t xml:space="preserve"> </w:t>
      </w:r>
      <w:r>
        <w:t xml:space="preserve">That does not make the proposed 9 Ballow Road Dunwich installation approved or funded—the upload properly says it is neither—but it makes Redland/Minjerribah a credible location for proving the global thesis at manageable scale. fileciteturn0file1</w:t>
      </w:r>
    </w:p>
    <w:p>
      <w:pPr>
        <w:pStyle w:val="BodyText"/>
      </w:pPr>
      <w:r>
        <w:t xml:space="preserve">There are also two things I would</w:t>
      </w:r>
      <w:r>
        <w:t xml:space="preserve"> </w:t>
      </w:r>
      <w:r>
        <w:rPr>
          <w:b/>
          <w:bCs/>
        </w:rPr>
        <w:t xml:space="preserve">remove from the core GAJRA fund prospectus</w:t>
      </w:r>
      <w:r>
        <w:t xml:space="preserve">.</w:t>
      </w:r>
    </w:p>
    <w:p>
      <w:pPr>
        <w:pStyle w:val="BodyText"/>
      </w:pPr>
      <w:r>
        <w:t xml:space="preserve">First, the Queensland Olympic “earn-to-heal” paper contains the useful ideas of local co-operative delivery and a C-Hour participation mechanism, but also proposes a large crypto treasury, DeFi yield strategies and strong medical claims around HBOT. fileciteturn0file11 Those create financial, clinical and reputational risks unrelated to whether distributed civic compute works. Any health intervention belongs in a separately capitalised, clinically governed vehicle with proper regulatory validation.</w:t>
      </w:r>
      <w:r>
        <w:t xml:space="preserve"> </w:t>
      </w:r>
      <w:r>
        <w:rPr>
          <w:b/>
          <w:bCs/>
        </w:rPr>
        <w:t xml:space="preserve">The A$250 billion civic-AI fund should own no speculative cryptocurrency treasury and should not depend on DeFi yield.</w:t>
      </w:r>
    </w:p>
    <w:p>
      <w:pPr>
        <w:pStyle w:val="BodyText"/>
      </w:pPr>
      <w:r>
        <w:t xml:space="preserve">Second, the current Community Ledger is moving in the right direction: it explicitly says ordinary users do not need crypto, public profiles are optional, private</w:t>
      </w:r>
      <w:r>
        <w:t xml:space="preserve"> </w:t>
      </w:r>
      <w:r>
        <w:rPr>
          <w:rStyle w:val="VerbatimChar"/>
        </w:rPr>
        <w:t xml:space="preserve">aura.md</w:t>
      </w:r>
      <w:r>
        <w:t xml:space="preserve"> </w:t>
      </w:r>
      <w:r>
        <w:t xml:space="preserve">material sits behind the public doorway, and the future C-Hour is intended as a</w:t>
      </w:r>
      <w:r>
        <w:t xml:space="preserve"> </w:t>
      </w:r>
      <w:r>
        <w:rPr>
          <w:b/>
          <w:bCs/>
        </w:rPr>
        <w:t xml:space="preserve">non-speculative</w:t>
      </w:r>
      <w:r>
        <w:t xml:space="preserve"> </w:t>
      </w:r>
      <w:r>
        <w:t xml:space="preserve">record of verified community contribution.</w:t>
      </w:r>
      <w:r>
        <w:t xml:space="preserve"> </w:t>
      </w:r>
      <w:hyperlink r:id="rId21">
        <w:r>
          <w:rPr>
            <w:rStyle w:val="Hyperlink"/>
          </w:rPr>
          <w:t xml:space="preserve">[11]</w:t>
        </w:r>
      </w:hyperlink>
      <w:r>
        <w:t xml:space="preserve"> </w:t>
      </w:r>
      <w:r>
        <w:t xml:space="preserve">That should become authoritative. Any older GAJRA material describing tradable investment tokens, an ICO, speculative appreciation or yield-bearing treasury structures should be formally marked</w:t>
      </w:r>
      <w:r>
        <w:t xml:space="preserve"> </w:t>
      </w:r>
      <w:r>
        <w:rPr>
          <w:b/>
          <w:bCs/>
        </w:rPr>
        <w:t xml:space="preserve">superseded and archived</w:t>
      </w:r>
      <w:r>
        <w:t xml:space="preserve">. The entire credibility of the braided-economy proposition depends on regulators, communities and investors immediately understanding that</w:t>
      </w:r>
      <w:r>
        <w:t xml:space="preserve"> </w:t>
      </w:r>
      <w:r>
        <w:rPr>
          <w:b/>
          <w:bCs/>
        </w:rPr>
        <w:t xml:space="preserve">a C-Hour is not an investment token</w:t>
      </w:r>
      <w:r>
        <w:t xml:space="preserve">.</w:t>
      </w:r>
    </w:p>
    <w:p>
      <w:pPr>
        <w:pStyle w:val="BodyText"/>
      </w:pPr>
      <w:r>
        <w:t xml:space="preserve">The international legislative uploads are best treated as</w:t>
      </w:r>
      <w:r>
        <w:t xml:space="preserve"> </w:t>
      </w:r>
      <w:r>
        <w:rPr>
          <w:b/>
          <w:bCs/>
        </w:rPr>
        <w:t xml:space="preserve">issue maps, not completed legal opinions</w:t>
      </w:r>
      <w:r>
        <w:t xml:space="preserve">. They usefully identify financial-product classification, AML/CFT, tax, volunteer/workplace law, privacy, digital-asset regulation and Indigenous data governance as recurring problems across jurisdictions. fileciteturn0file7 fileciteturn0file8 fileciteturn0file9 Every country's conclusions need fresh local counsel before deployment, because these regulatory environments are moving as quickly as the technology.</w:t>
      </w:r>
    </w:p>
    <w:bookmarkEnd w:id="22"/>
    <w:bookmarkStart w:id="27" w:name="X40d11a9722a45bfa968dfa7e4d32f56bbec8208"/>
    <w:p>
      <w:pPr>
        <w:pStyle w:val="Heading2"/>
      </w:pPr>
      <w:r>
        <w:t xml:space="preserve">The infrastructure product and network architecture</w:t>
      </w:r>
    </w:p>
    <w:p>
      <w:pPr>
        <w:pStyle w:val="FirstParagraph"/>
      </w:pPr>
      <w:r>
        <w:t xml:space="preserve">The 44,000-node concept works best if the</w:t>
      </w:r>
      <w:r>
        <w:t xml:space="preserve"> </w:t>
      </w:r>
      <w:r>
        <w:rPr>
          <w:b/>
          <w:bCs/>
        </w:rPr>
        <w:t xml:space="preserve">town is the governance unit and the rack is a replaceable appliance inside a standard infrastructure envelope</w:t>
      </w:r>
      <w:r>
        <w:t xml:space="preserve">.</w:t>
      </w:r>
    </w:p>
    <w:p>
      <w:pPr>
        <w:pStyle w:val="BodyText"/>
      </w:pPr>
      <w:r>
        <w:t xml:space="preserve">The uploaded city dataset should not become a global master map imposed from Australia. National definitions of “city”, “town”, municipality and settlement differ substantially. The uploaded</w:t>
      </w:r>
      <w:r>
        <w:t xml:space="preserve"> </w:t>
      </w:r>
      <w:r>
        <w:rPr>
          <w:rStyle w:val="VerbatimChar"/>
        </w:rPr>
        <w:t xml:space="preserve">worldcities(2).csv</w:t>
      </w:r>
      <w:r>
        <w:t xml:space="preserve"> </w:t>
      </w:r>
      <w:r>
        <w:t xml:space="preserve">has 41,549 places at or above 9,000 population, but that criterion would systematically underweight remote communities, islands and many Indigenous or Native Nations. The sensible interpretation is therefore a</w:t>
      </w:r>
      <w:r>
        <w:t xml:space="preserve"> </w:t>
      </w:r>
      <w:r>
        <w:rPr>
          <w:b/>
          <w:bCs/>
        </w:rPr>
        <w:t xml:space="preserve">44,000-node planning envelope</w:t>
      </w:r>
      <w:r>
        <w:t xml:space="preserve">, beginning with the 41,549-place baseline and reserving roughly 2,451 additional nodes for smaller places with strategic, cultural, geographic, disaster-resilience or equity reasons for inclusion. That extends the reasoning already present in the Australian submission that a postcode is a human-scale planning metaphor, not a rigid boundary. fileciteturn0file1</w:t>
      </w:r>
    </w:p>
    <w:p>
      <w:pPr>
        <w:pStyle w:val="BodyText"/>
      </w:pPr>
      <w:r>
        <w:t xml:space="preserve">A useful global stack would look like this: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Compute layer</w:t>
            </w:r>
          </w:p>
        </w:tc>
        <w:tc>
          <w:tcPr/>
          <w:p>
            <w:pPr>
              <w:pStyle w:val="Compact"/>
            </w:pPr>
            <w:r>
              <w:t xml:space="preserve">Core function</w:t>
            </w:r>
          </w:p>
        </w:tc>
        <w:tc>
          <w:tcPr/>
          <w:p>
            <w:pPr>
              <w:pStyle w:val="Compact"/>
            </w:pPr>
            <w:r>
              <w:t xml:space="preserve">Ownership and governance principle</w:t>
            </w:r>
          </w:p>
        </w:tc>
      </w:tr>
      <w:tr>
        <w:tc>
          <w:tcPr/>
          <w:p>
            <w:pPr>
              <w:pStyle w:val="Compact"/>
            </w:pPr>
            <w:r>
              <w:rPr>
                <w:b/>
                <w:bCs/>
              </w:rPr>
              <w:t xml:space="preserve">L0 personal/household</w:t>
            </w:r>
          </w:p>
        </w:tc>
        <w:tc>
          <w:tcPr/>
          <w:p>
            <w:pPr>
              <w:pStyle w:val="Compact"/>
            </w:pPr>
            <w:r>
              <w:t xml:space="preserve">Personal AI, private memory, small local models, digital twins, sensors</w:t>
            </w:r>
          </w:p>
        </w:tc>
        <w:tc>
          <w:tcPr/>
          <w:p>
            <w:pPr>
              <w:pStyle w:val="Compact"/>
            </w:pPr>
            <w:r>
              <w:t xml:space="preserve">Person/household controls keys, permissions and primary private data</w:t>
            </w:r>
          </w:p>
        </w:tc>
      </w:tr>
      <w:tr>
        <w:tc>
          <w:tcPr/>
          <w:p>
            <w:pPr>
              <w:pStyle w:val="Compact"/>
            </w:pPr>
            <w:r>
              <w:rPr>
                <w:b/>
                <w:bCs/>
              </w:rPr>
              <w:t xml:space="preserve">L1 neighbourhood</w:t>
            </w:r>
          </w:p>
        </w:tc>
        <w:tc>
          <w:tcPr/>
          <w:p>
            <w:pPr>
              <w:pStyle w:val="Compact"/>
            </w:pPr>
            <w:r>
              <w:t xml:space="preserve">Mesh communications, disaster information, shared sensors, low-power inference</w:t>
            </w:r>
          </w:p>
        </w:tc>
        <w:tc>
          <w:tcPr/>
          <w:p>
            <w:pPr>
              <w:pStyle w:val="Compact"/>
            </w:pPr>
            <w:r>
              <w:t xml:space="preserve">Explicit opt-in sharing and local degraded-mode resilience</w:t>
            </w:r>
          </w:p>
        </w:tc>
      </w:tr>
      <w:tr>
        <w:tc>
          <w:tcPr/>
          <w:p>
            <w:pPr>
              <w:pStyle w:val="Compact"/>
            </w:pPr>
            <w:r>
              <w:rPr>
                <w:b/>
                <w:bCs/>
              </w:rPr>
              <w:t xml:space="preserve">L2 Civic Compute Hub</w:t>
            </w:r>
          </w:p>
        </w:tc>
        <w:tc>
          <w:tcPr/>
          <w:p>
            <w:pPr>
              <w:pStyle w:val="Compact"/>
            </w:pPr>
            <w:r>
              <w:t xml:space="preserve">GB300-equivalent rack-scale inference, fine-tuning, simulation, digital twins, research, education</w:t>
            </w:r>
          </w:p>
        </w:tc>
        <w:tc>
          <w:tcPr/>
          <w:p>
            <w:pPr>
              <w:pStyle w:val="Compact"/>
            </w:pPr>
            <w:r>
              <w:t xml:space="preserve">Locally incorporated operator; physical compute in or near the community</w:t>
            </w:r>
          </w:p>
        </w:tc>
      </w:tr>
      <w:tr>
        <w:tc>
          <w:tcPr/>
          <w:p>
            <w:pPr>
              <w:pStyle w:val="Compact"/>
            </w:pPr>
            <w:r>
              <w:rPr>
                <w:b/>
                <w:bCs/>
              </w:rPr>
              <w:t xml:space="preserve">Regional/national</w:t>
            </w:r>
          </w:p>
        </w:tc>
        <w:tc>
          <w:tcPr/>
          <w:p>
            <w:pPr>
              <w:pStyle w:val="Compact"/>
            </w:pPr>
            <w:r>
              <w:t xml:space="preserve">Larger training, model evaluation, scientific/HPC workloads, cross-community coordination</w:t>
            </w:r>
          </w:p>
        </w:tc>
        <w:tc>
          <w:tcPr/>
          <w:p>
            <w:pPr>
              <w:pStyle w:val="Compact"/>
            </w:pPr>
            <w:r>
              <w:t xml:space="preserve">State, national, university or sovereign infrastructure</w:t>
            </w:r>
          </w:p>
        </w:tc>
      </w:tr>
      <w:tr>
        <w:tc>
          <w:tcPr/>
          <w:p>
            <w:pPr>
              <w:pStyle w:val="Compact"/>
            </w:pPr>
            <w:r>
              <w:rPr>
                <w:b/>
                <w:bCs/>
              </w:rPr>
              <w:t xml:space="preserve">Hyperscale/global</w:t>
            </w:r>
          </w:p>
        </w:tc>
        <w:tc>
          <w:tcPr/>
          <w:p>
            <w:pPr>
              <w:pStyle w:val="Compact"/>
            </w:pPr>
            <w:r>
              <w:t xml:space="preserve">Frontier model training, globally elastic cloud, extremely large workloads</w:t>
            </w:r>
          </w:p>
        </w:tc>
        <w:tc>
          <w:tcPr/>
          <w:p>
            <w:pPr>
              <w:pStyle w:val="Compact"/>
            </w:pPr>
            <w:r>
              <w:t xml:space="preserve">Commercial/public providers accessed competitively</w:t>
            </w:r>
          </w:p>
        </w:tc>
      </w:tr>
      <w:tr>
        <w:tc>
          <w:tcPr/>
          <w:p>
            <w:pPr>
              <w:pStyle w:val="Compact"/>
            </w:pPr>
            <w:r>
              <w:rPr>
                <w:b/>
                <w:bCs/>
              </w:rPr>
              <w:t xml:space="preserve">Specialised future layers</w:t>
            </w:r>
          </w:p>
        </w:tc>
        <w:tc>
          <w:tcPr/>
          <w:p>
            <w:pPr>
              <w:pStyle w:val="Compact"/>
            </w:pPr>
            <w:r>
              <w:t xml:space="preserve">Quantum optimisation, specialist HPC and possibly orbital workloads</w:t>
            </w:r>
          </w:p>
        </w:tc>
        <w:tc>
          <w:tcPr/>
          <w:p>
            <w:pPr>
              <w:pStyle w:val="Compact"/>
            </w:pPr>
            <w:r>
              <w:t xml:space="preserve">Federated when technically and economically useful</w:t>
            </w:r>
          </w:p>
        </w:tc>
      </w:tr>
    </w:tbl>
    <w:p>
      <w:pPr>
        <w:pStyle w:val="BodyText"/>
      </w:pPr>
      <w:r>
        <w:t xml:space="preserve">That preserves the strongest principle in the uploads:</w:t>
      </w:r>
      <w:r>
        <w:t xml:space="preserve"> </w:t>
      </w:r>
      <w:r>
        <w:rPr>
          <w:b/>
          <w:bCs/>
        </w:rPr>
        <w:t xml:space="preserve">sometimes the right answer is the phone, sometimes the neighbourhood, sometimes the local rack, and sometimes a hyperscale data centre.</w:t>
      </w:r>
      <w:r>
        <w:t xml:space="preserve"> </w:t>
      </w:r>
      <w:r>
        <w:t xml:space="preserve">fileciteturn0file0 fileciteturn0file1</w:t>
      </w:r>
    </w:p>
    <w:p>
      <w:pPr>
        <w:pStyle w:val="BodyText"/>
      </w:pPr>
      <w:r>
        <w:t xml:space="preserve">The L2 node should not be sold as a globally distributed single supercomputer. NVIDIA's 130 TB/s NVLink fabric exists</w:t>
      </w:r>
      <w:r>
        <w:t xml:space="preserve"> </w:t>
      </w:r>
      <w:r>
        <w:rPr>
          <w:i/>
          <w:iCs/>
        </w:rPr>
        <w:t xml:space="preserve">inside</w:t>
      </w:r>
      <w:r>
        <w:t xml:space="preserve"> </w:t>
      </w:r>
      <w:r>
        <w:t xml:space="preserve">one GB300 rack; inter-city networks are many orders of magnitude different in latency and topology.</w:t>
      </w:r>
      <w:r>
        <w:t xml:space="preserve"> </w:t>
      </w:r>
      <w:hyperlink r:id="rId17">
        <w:r>
          <w:rPr>
            <w:rStyle w:val="Hyperlink"/>
          </w:rPr>
          <w:t xml:space="preserve">[12]</w:t>
        </w:r>
      </w:hyperlink>
      <w:r>
        <w:t xml:space="preserve"> </w:t>
      </w:r>
      <w:r>
        <w:t xml:space="preserve">Trying to train one tightly synchronised frontier model across 44,000 towns would be a bloomin' expensive way of discovering the speed of light. The network is instead suited to</w:t>
      </w:r>
      <w:r>
        <w:t xml:space="preserve"> </w:t>
      </w:r>
      <w:r>
        <w:rPr>
          <w:b/>
          <w:bCs/>
        </w:rPr>
        <w:t xml:space="preserve">local inference, retrieval-augmented generation, multimodal processing, digital twins, fine-tuning, batch jobs, asynchronous scientific workloads, federated learning and model evaluation</w:t>
      </w:r>
      <w:r>
        <w:t xml:space="preserve">, while tightly coupled frontier training remains regional or hyperscale.</w:t>
      </w:r>
    </w:p>
    <w:bookmarkStart w:id="26" w:name="the-civic-compute-port"/>
    <w:p>
      <w:pPr>
        <w:pStyle w:val="Heading3"/>
      </w:pPr>
      <w:r>
        <w:t xml:space="preserve">The Civic Compute Port</w:t>
      </w:r>
    </w:p>
    <w:p>
      <w:pPr>
        <w:pStyle w:val="FirstParagraph"/>
      </w:pPr>
      <w:r>
        <w:t xml:space="preserve">Every location should have a standard physical</w:t>
      </w:r>
      <w:r>
        <w:t xml:space="preserve"> </w:t>
      </w:r>
      <w:r>
        <w:rPr>
          <w:b/>
          <w:bCs/>
        </w:rPr>
        <w:t xml:space="preserve">port specification</w:t>
      </w:r>
      <w:r>
        <w:t xml:space="preserve"> </w:t>
      </w:r>
      <w:r>
        <w:t xml:space="preserve">with vendor-neutral interfaces: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Component</w:t>
            </w:r>
          </w:p>
        </w:tc>
        <w:tc>
          <w:tcPr/>
          <w:p>
            <w:pPr>
              <w:pStyle w:val="Compact"/>
            </w:pPr>
            <w:r>
              <w:t xml:space="preserve">Design target</w:t>
            </w:r>
          </w:p>
        </w:tc>
      </w:tr>
      <w:tr>
        <w:tc>
          <w:tcPr/>
          <w:p>
            <w:pPr>
              <w:pStyle w:val="Compact"/>
            </w:pPr>
            <w:r>
              <w:t xml:space="preserve">Accelerator bay</w:t>
            </w:r>
          </w:p>
        </w:tc>
        <w:tc>
          <w:tcPr/>
          <w:p>
            <w:pPr>
              <w:pStyle w:val="Compact"/>
            </w:pPr>
            <w:r>
              <w:t xml:space="preserve">One current Civic Compute Class rack; hardware replaceable without redesigning the building</w:t>
            </w:r>
          </w:p>
        </w:tc>
      </w:tr>
      <w:tr>
        <w:tc>
          <w:tcPr/>
          <w:p>
            <w:pPr>
              <w:pStyle w:val="Compact"/>
            </w:pPr>
            <w:r>
              <w:t xml:space="preserve">Electrical</w:t>
            </w:r>
          </w:p>
        </w:tc>
        <w:tc>
          <w:tcPr/>
          <w:p>
            <w:pPr>
              <w:pStyle w:val="Compact"/>
            </w:pPr>
            <w:r>
              <w:t xml:space="preserve">Approximately 175–250 kW design envelope initially, allowing rack, cooling, storage and growth</w:t>
            </w:r>
          </w:p>
        </w:tc>
      </w:tr>
      <w:tr>
        <w:tc>
          <w:tcPr/>
          <w:p>
            <w:pPr>
              <w:pStyle w:val="Compact"/>
            </w:pPr>
            <w:r>
              <w:t xml:space="preserve">Cooling</w:t>
            </w:r>
          </w:p>
        </w:tc>
        <w:tc>
          <w:tcPr/>
          <w:p>
            <w:pPr>
              <w:pStyle w:val="Compact"/>
            </w:pPr>
            <w:r>
              <w:t xml:space="preserve">Direct-to-chip closed-loop liquid infrastructure; heat rejection chosen for local climate</w:t>
            </w:r>
          </w:p>
        </w:tc>
      </w:tr>
      <w:tr>
        <w:tc>
          <w:tcPr/>
          <w:p>
            <w:pPr>
              <w:pStyle w:val="Compact"/>
            </w:pPr>
            <w:r>
              <w:t xml:space="preserve">Backhaul</w:t>
            </w:r>
          </w:p>
        </w:tc>
        <w:tc>
          <w:tcPr/>
          <w:p>
            <w:pPr>
              <w:pStyle w:val="Compact"/>
            </w:pPr>
            <w:r>
              <w:t xml:space="preserve">Diverse terrestrial fibre wherever practical; secondary carrier and satellite/LEO fallback where necessary</w:t>
            </w:r>
          </w:p>
        </w:tc>
      </w:tr>
      <w:tr>
        <w:tc>
          <w:tcPr/>
          <w:p>
            <w:pPr>
              <w:pStyle w:val="Compact"/>
            </w:pPr>
            <w:r>
              <w:t xml:space="preserve">Storage</w:t>
            </w:r>
          </w:p>
        </w:tc>
        <w:tc>
          <w:tcPr/>
          <w:p>
            <w:pPr>
              <w:pStyle w:val="Compact"/>
            </w:pPr>
            <w:r>
              <w:t xml:space="preserve">Encrypted local high-speed tier plus lower-cost local archival/cache tier</w:t>
            </w:r>
          </w:p>
        </w:tc>
      </w:tr>
      <w:tr>
        <w:tc>
          <w:tcPr/>
          <w:p>
            <w:pPr>
              <w:pStyle w:val="Compact"/>
            </w:pPr>
            <w:r>
              <w:t xml:space="preserve">Security</w:t>
            </w:r>
          </w:p>
        </w:tc>
        <w:tc>
          <w:tcPr/>
          <w:p>
            <w:pPr>
              <w:pStyle w:val="Compact"/>
            </w:pPr>
            <w:r>
              <w:t xml:space="preserve">Separate management plane, physical access control, hardware attestation, signed software/model artefacts</w:t>
            </w:r>
          </w:p>
        </w:tc>
      </w:tr>
      <w:tr>
        <w:tc>
          <w:tcPr/>
          <w:p>
            <w:pPr>
              <w:pStyle w:val="Compact"/>
            </w:pPr>
            <w:r>
              <w:t xml:space="preserve">Resilience</w:t>
            </w:r>
          </w:p>
        </w:tc>
        <w:tc>
          <w:tcPr/>
          <w:p>
            <w:pPr>
              <w:pStyle w:val="Compact"/>
            </w:pPr>
            <w:r>
              <w:t xml:space="preserve">UPS/battery ride-through; workload checkpointing; critical-services load shedding; generator or microgrid strategy where justified</w:t>
            </w:r>
          </w:p>
        </w:tc>
      </w:tr>
      <w:tr>
        <w:tc>
          <w:tcPr/>
          <w:p>
            <w:pPr>
              <w:pStyle w:val="Compact"/>
            </w:pPr>
            <w:r>
              <w:t xml:space="preserve">Civic frontage</w:t>
            </w:r>
          </w:p>
        </w:tc>
        <w:tc>
          <w:tcPr/>
          <w:p>
            <w:pPr>
              <w:pStyle w:val="Compact"/>
            </w:pPr>
            <w:r>
              <w:t xml:space="preserve">Adjacent classroom/workshop/library/lab space so the infrastructure is learnable rather than invisible</w:t>
            </w:r>
          </w:p>
        </w:tc>
      </w:tr>
      <w:tr>
        <w:tc>
          <w:tcPr/>
          <w:p>
            <w:pPr>
              <w:pStyle w:val="Compact"/>
            </w:pPr>
            <w:r>
              <w:t xml:space="preserve">Local control</w:t>
            </w:r>
          </w:p>
        </w:tc>
        <w:tc>
          <w:tcPr/>
          <w:p>
            <w:pPr>
              <w:pStyle w:val="Compact"/>
            </w:pPr>
            <w:r>
              <w:t xml:space="preserve">Locally held cryptographic keys and auditable policy enforcement</w:t>
            </w:r>
          </w:p>
        </w:tc>
      </w:tr>
      <w:tr>
        <w:tc>
          <w:tcPr/>
          <w:p>
            <w:pPr>
              <w:pStyle w:val="Compact"/>
            </w:pPr>
            <w:r>
              <w:t xml:space="preserve">Environmental reporting</w:t>
            </w:r>
          </w:p>
        </w:tc>
        <w:tc>
          <w:tcPr/>
          <w:p>
            <w:pPr>
              <w:pStyle w:val="Compact"/>
            </w:pPr>
            <w:r>
              <w:t xml:space="preserve">Energy, water, heat, utilisation and lifecycle/e-waste reporting from day one</w:t>
            </w:r>
          </w:p>
        </w:tc>
      </w:tr>
    </w:tbl>
    <w:p>
      <w:pPr>
        <w:pStyle w:val="BodyText"/>
      </w:pPr>
      <w:r>
        <w:t xml:space="preserve">The uploaded Australian submission makes this distinction very well: a 100-plus-kilowatt rack cannot simply be wheeled into a library beside a photocopier; it needs a proper machine space connected to a visible educational/community environment. fileciteturn0file1 Australia's 2026 national expectations similarly call for infrastructure operators to carry their energy and connection burdens, minimise water use, create local skills and strengthen domestic capability.</w:t>
      </w:r>
      <w:r>
        <w:t xml:space="preserve"> </w:t>
      </w:r>
      <w:hyperlink r:id="rId23">
        <w:r>
          <w:rPr>
            <w:rStyle w:val="Hyperlink"/>
          </w:rPr>
          <w:t xml:space="preserve">[13]</w:t>
        </w:r>
      </w:hyperlink>
    </w:p>
    <w:p>
      <w:pPr>
        <w:pStyle w:val="BodyText"/>
      </w:pPr>
      <w:r>
        <w:t xml:space="preserve">The power scale deserves to be put on the front page of the business case rather than hidden in an appendix. Using NVIDIA's 142 kW maximum rack requirement, 44,000 racks represent about</w:t>
      </w:r>
      <w:r>
        <w:t xml:space="preserve"> </w:t>
      </w:r>
      <w:r>
        <w:rPr>
          <w:b/>
          <w:bCs/>
        </w:rPr>
        <w:t xml:space="preserve">6.25 GW of peak IT load</w:t>
      </w:r>
      <w:r>
        <w:t xml:space="preserve">. Under a planning PUE assumption of 1.15, the full network would peak around</w:t>
      </w:r>
      <w:r>
        <w:t xml:space="preserve"> </w:t>
      </w:r>
      <w:r>
        <w:rPr>
          <w:b/>
          <w:bCs/>
        </w:rPr>
        <w:t xml:space="preserve">7.19 GW at facility level</w:t>
      </w:r>
      <w:r>
        <w:t xml:space="preserve">. At 60% average utilisation, it would consume roughly</w:t>
      </w:r>
      <w:r>
        <w:t xml:space="preserve"> </w:t>
      </w:r>
      <w:r>
        <w:rPr>
          <w:b/>
          <w:bCs/>
        </w:rPr>
        <w:t xml:space="preserve">37.8 TWh per year</w:t>
      </w:r>
      <w:r>
        <w:t xml:space="preserve">; at continuous maximum load it would approach 62.9 TWh. Those are scenario calculations, not forecasts. For context, the IEA projects total global data-centre electricity consumption of about 945 TWh in 2030.</w:t>
      </w:r>
      <w:r>
        <w:t xml:space="preserve"> </w:t>
      </w:r>
      <w:hyperlink r:id="rId17">
        <w:r>
          <w:rPr>
            <w:rStyle w:val="Hyperlink"/>
          </w:rPr>
          <w:t xml:space="preserve">[14]</w:t>
        </w:r>
      </w:hyperlink>
    </w:p>
    <w:p>
      <w:pPr>
        <w:pStyle w:val="BodyText"/>
      </w:pPr>
      <w:r>
        <w:t xml:space="preserve">So even at 60% utilisation the 44,000-node network could represent roughly</w:t>
      </w:r>
      <w:r>
        <w:t xml:space="preserve"> </w:t>
      </w:r>
      <w:r>
        <w:rPr>
          <w:b/>
          <w:bCs/>
        </w:rPr>
        <w:t xml:space="preserve">4% of the IEA's entire projected 2030 data-centre electricity demand</w:t>
      </w:r>
      <w:r>
        <w:t xml:space="preserve">. That makes “Joyful Responsible Abundance” materially different from “lots of GPUs everywhere”. Energy additionality, grid conditions, local water constraints and utilisation must be financial-close criteria. The IEA itself stresses that energy infrastructure generally develops more slowly than data centres and that accelerated-server electricity demand is growing rapidly.</w:t>
      </w:r>
      <w:r>
        <w:t xml:space="preserve"> </w:t>
      </w:r>
      <w:hyperlink r:id="rId24">
        <w:r>
          <w:rPr>
            <w:rStyle w:val="Hyperlink"/>
          </w:rPr>
          <w:t xml:space="preserve">[15]</w:t>
        </w:r>
      </w:hyperlink>
    </w:p>
    <w:p>
      <w:pPr>
        <w:pStyle w:val="BodyText"/>
      </w:pPr>
      <w:r>
        <w:t xml:space="preserve">This also argues against pretending decentralisation is automatically greener. It may reduce network transport, permit waste-heat use, improve local resilience and enable computation to follow renewable availability, but smaller facilities can lose some economies of scale.</w:t>
      </w:r>
      <w:r>
        <w:t xml:space="preserve"> </w:t>
      </w:r>
      <w:r>
        <w:rPr>
          <w:b/>
          <w:bCs/>
        </w:rPr>
        <w:t xml:space="preserve">Every pilot should measure the result rather than presuppose it.</w:t>
      </w:r>
      <w:r>
        <w:t xml:space="preserve"> </w:t>
      </w:r>
      <w:r>
        <w:t xml:space="preserve">“Closed-loop liquid cooling” also does not literally mean zero water footprint: facility heat rejection and upstream electricity production still have environmental footprints.</w:t>
      </w:r>
    </w:p>
    <w:p>
      <w:pPr>
        <w:pStyle w:val="BodyText"/>
      </w:pPr>
      <w:r>
        <w:t xml:space="preserve">Export control makes vendor neutrality compulsory rather than merely desirable. Current US rules impose licences around exports of advanced computing items to certain destinations and entities, including entities headquartered in Country Group D:5 or Macau, and current EAR provisions impose additional restrictions around data-centre-class advanced computing equipment.</w:t>
      </w:r>
      <w:r>
        <w:t xml:space="preserve"> </w:t>
      </w:r>
      <w:hyperlink r:id="rId25">
        <w:r>
          <w:rPr>
            <w:rStyle w:val="Hyperlink"/>
          </w:rPr>
          <w:t xml:space="preserve">[16]</w:t>
        </w:r>
      </w:hyperlink>
      <w:r>
        <w:t xml:space="preserve"> </w:t>
      </w:r>
      <w:r>
        <w:t xml:space="preserve">A lawful global system therefore cannot promise one NVIDIA model to every jurisdiction.</w:t>
      </w:r>
    </w:p>
    <w:p>
      <w:pPr>
        <w:pStyle w:val="BodyText"/>
      </w:pPr>
      <w:r>
        <w:t xml:space="preserve">I would create an open</w:t>
      </w:r>
      <w:r>
        <w:t xml:space="preserve"> </w:t>
      </w:r>
      <w:r>
        <w:rPr>
          <w:b/>
          <w:bCs/>
        </w:rPr>
        <w:t xml:space="preserve">GAJRA Civic Compute Class</w:t>
      </w:r>
      <w:r>
        <w:t xml:space="preserve"> </w:t>
      </w:r>
      <w:r>
        <w:t xml:space="preserve">benchmark. A 2026 GB300 NVL72 becomes the reference baseline, but a compliant node may use NVIDIA, AMD, national accelerators, future Rubin-class hardware or another architecture provided it satisfies published service benchmarks for memory, inference throughput, fine-tuning performance, interconnect, confidentiality, energy efficiency and software portability. There must be</w:t>
      </w:r>
      <w:r>
        <w:t xml:space="preserve"> </w:t>
      </w:r>
      <w:r>
        <w:rPr>
          <w:b/>
          <w:bCs/>
        </w:rPr>
        <w:t xml:space="preserve">no attempt to circumvent export controls</w:t>
      </w:r>
      <w:r>
        <w:t xml:space="preserve">. The interoperability layer should make unequal hardware capable of participating in an equal protocol.</w:t>
      </w:r>
    </w:p>
    <w:p>
      <w:pPr>
        <w:pStyle w:val="BodyText"/>
      </w:pPr>
      <w:r>
        <w:t xml:space="preserve">That is also how the architecture survives exponential change.</w:t>
      </w:r>
    </w:p>
    <w:bookmarkEnd w:id="26"/>
    <w:bookmarkEnd w:id="27"/>
    <w:bookmarkStart w:id="34" w:name="X290df296e9b7350d50d0d58e20c28d1e3a40f9e"/>
    <w:p>
      <w:pPr>
        <w:pStyle w:val="Heading2"/>
      </w:pPr>
      <w:r>
        <w:t xml:space="preserve">The fund, capital stack and unit economics</w:t>
      </w:r>
    </w:p>
    <w:p>
      <w:pPr>
        <w:pStyle w:val="FirstParagraph"/>
      </w:pPr>
      <w:r>
        <w:t xml:space="preserve">The uploaded A$6 million-per-place thought experiment is valuable because it identifies the right order of magnitude. fileciteturn0file1 The problem is that present hardware pricing shows why A$250 billion should be understood as</w:t>
      </w:r>
      <w:r>
        <w:t xml:space="preserve"> </w:t>
      </w:r>
      <w:r>
        <w:rPr>
          <w:b/>
          <w:bCs/>
        </w:rPr>
        <w:t xml:space="preserve">catalytic fund capital</w:t>
      </w:r>
      <w:r>
        <w:t xml:space="preserve">, not a hard cap on worldwide project expenditure.</w:t>
      </w:r>
    </w:p>
    <w:bookmarkStart w:id="29" w:name="the-current-arithmetic"/>
    <w:p>
      <w:pPr>
        <w:pStyle w:val="Heading3"/>
      </w:pPr>
      <w:r>
        <w:t xml:space="preserve">The current arithmetic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Planning result</w:t>
            </w:r>
          </w:p>
        </w:tc>
      </w:tr>
      <w:tr>
        <w:tc>
          <w:tcPr/>
          <w:p>
            <w:pPr>
              <w:pStyle w:val="Compact"/>
            </w:pPr>
            <w:r>
              <w:t xml:space="preserve">Target locations</w:t>
            </w:r>
          </w:p>
        </w:tc>
        <w:tc>
          <w:tcPr/>
          <w:p>
            <w:pPr>
              <w:pStyle w:val="Compact"/>
              <w:jc w:val="right"/>
            </w:pPr>
            <w:r>
              <w:t xml:space="preserve">44,000</w:t>
            </w:r>
          </w:p>
        </w:tc>
      </w:tr>
      <w:tr>
        <w:tc>
          <w:tcPr/>
          <w:p>
            <w:pPr>
              <w:pStyle w:val="Compact"/>
            </w:pPr>
            <w:r>
              <w:t xml:space="preserve">A$250B divided by 44,000</w:t>
            </w:r>
          </w:p>
        </w:tc>
        <w:tc>
          <w:tcPr/>
          <w:p>
            <w:pPr>
              <w:pStyle w:val="Compact"/>
              <w:jc w:val="right"/>
            </w:pPr>
            <w:r>
              <w:rPr>
                <w:b/>
                <w:bCs/>
              </w:rPr>
              <w:t xml:space="preserve">A$5.68M/site</w:t>
            </w:r>
          </w:p>
        </w:tc>
      </w:tr>
      <w:tr>
        <w:tc>
          <w:tcPr/>
          <w:p>
            <w:pPr>
              <w:pStyle w:val="Compact"/>
            </w:pPr>
            <w:r>
              <w:t xml:space="preserve">Uploaded A$6M × 44,000</w:t>
            </w:r>
          </w:p>
        </w:tc>
        <w:tc>
          <w:tcPr/>
          <w:p>
            <w:pPr>
              <w:pStyle w:val="Compact"/>
              <w:jc w:val="right"/>
            </w:pPr>
            <w:r>
              <w:rPr>
                <w:b/>
                <w:bCs/>
              </w:rPr>
              <w:t xml:space="preserve">A$264B</w:t>
            </w:r>
          </w:p>
        </w:tc>
      </w:tr>
      <w:tr>
        <w:tc>
          <w:tcPr/>
          <w:p>
            <w:pPr>
              <w:pStyle w:val="Compact"/>
            </w:pPr>
            <w:r>
              <w:t xml:space="preserve">Uploaded 41,549 × A$6M</w:t>
            </w:r>
          </w:p>
        </w:tc>
        <w:tc>
          <w:tcPr/>
          <w:p>
            <w:pPr>
              <w:pStyle w:val="Compact"/>
              <w:jc w:val="right"/>
            </w:pPr>
            <w:r>
              <w:rPr>
                <w:b/>
                <w:bCs/>
              </w:rPr>
              <w:t xml:space="preserve">A$249.3B</w:t>
            </w:r>
          </w:p>
        </w:tc>
      </w:tr>
      <w:tr>
        <w:tc>
          <w:tcPr/>
          <w:p>
            <w:pPr>
              <w:pStyle w:val="Compact"/>
            </w:pPr>
            <w:r>
              <w:t xml:space="preserve">Reported 2026 GB300 hardware range converted at AUD/USD 0.703</w:t>
            </w:r>
          </w:p>
        </w:tc>
        <w:tc>
          <w:tcPr/>
          <w:p>
            <w:pPr>
              <w:pStyle w:val="Compact"/>
              <w:jc w:val="right"/>
            </w:pPr>
            <w:r>
              <w:rPr>
                <w:b/>
                <w:bCs/>
              </w:rPr>
              <w:t xml:space="preserve">~A$5.0–6.1M/rack</w:t>
            </w:r>
          </w:p>
        </w:tc>
      </w:tr>
      <w:tr>
        <w:tc>
          <w:tcPr/>
          <w:p>
            <w:pPr>
              <w:pStyle w:val="Compact"/>
            </w:pPr>
            <w:r>
              <w:t xml:space="preserve">GPUs at 72/site</w:t>
            </w:r>
          </w:p>
        </w:tc>
        <w:tc>
          <w:tcPr/>
          <w:p>
            <w:pPr>
              <w:pStyle w:val="Compact"/>
              <w:jc w:val="right"/>
            </w:pPr>
            <w:r>
              <w:rPr>
                <w:b/>
                <w:bCs/>
              </w:rPr>
              <w:t xml:space="preserve">3.168 million GPUs</w:t>
            </w:r>
          </w:p>
        </w:tc>
      </w:tr>
      <w:tr>
        <w:tc>
          <w:tcPr/>
          <w:p>
            <w:pPr>
              <w:pStyle w:val="Compact"/>
            </w:pPr>
            <w:r>
              <w:t xml:space="preserve">Grace CPUs at 36/site</w:t>
            </w:r>
          </w:p>
        </w:tc>
        <w:tc>
          <w:tcPr/>
          <w:p>
            <w:pPr>
              <w:pStyle w:val="Compact"/>
              <w:jc w:val="right"/>
            </w:pPr>
            <w:r>
              <w:rPr>
                <w:b/>
                <w:bCs/>
              </w:rPr>
              <w:t xml:space="preserve">1.584 million CPUs</w:t>
            </w:r>
          </w:p>
        </w:tc>
      </w:tr>
      <w:tr>
        <w:tc>
          <w:tcPr/>
          <w:p>
            <w:pPr>
              <w:pStyle w:val="Compact"/>
            </w:pPr>
            <w:r>
              <w:t xml:space="preserve">Peak IT load at 142 kW/site</w:t>
            </w:r>
          </w:p>
        </w:tc>
        <w:tc>
          <w:tcPr/>
          <w:p>
            <w:pPr>
              <w:pStyle w:val="Compact"/>
              <w:jc w:val="right"/>
            </w:pPr>
            <w:r>
              <w:rPr>
                <w:b/>
                <w:bCs/>
              </w:rPr>
              <w:t xml:space="preserve">6.248 GW</w:t>
            </w:r>
          </w:p>
        </w:tc>
      </w:tr>
    </w:tbl>
    <w:p>
      <w:pPr>
        <w:pStyle w:val="BodyText"/>
      </w:pPr>
      <w:r>
        <w:t xml:space="preserve">The reported current rack-price range is based on third-party procurement/supply-chain reporting rather than an NVIDIA list price, so it should be treated as indicative.</w:t>
      </w:r>
      <w:r>
        <w:t xml:space="preserve"> </w:t>
      </w:r>
      <w:hyperlink r:id="rId28">
        <w:r>
          <w:rPr>
            <w:rStyle w:val="Hyperlink"/>
          </w:rPr>
          <w:t xml:space="preserve">[17]</w:t>
        </w:r>
      </w:hyperlink>
      <w:r>
        <w:t xml:space="preserve"> </w:t>
      </w:r>
      <w:r>
        <w:t xml:space="preserve">It nevertheless proves the central point: at 2026 prices the silicon consumes practically the entire A$5.68 million average allocation.</w:t>
      </w:r>
    </w:p>
    <w:p>
      <w:pPr>
        <w:pStyle w:val="BodyText"/>
      </w:pPr>
      <w:r>
        <w:t xml:space="preserve">Supply would also be substantial. Wolfe Research's supply-chain estimate suggested roughly 50,000–60,000 Blackwell rack shipments during 2026.</w:t>
      </w:r>
      <w:r>
        <w:t xml:space="preserve"> </w:t>
      </w:r>
      <w:hyperlink r:id="rId28">
        <w:r>
          <w:rPr>
            <w:rStyle w:val="Hyperlink"/>
          </w:rPr>
          <w:t xml:space="preserve">[18]</w:t>
        </w:r>
      </w:hyperlink>
      <w:r>
        <w:t xml:space="preserve"> </w:t>
      </w:r>
      <w:r>
        <w:t xml:space="preserve">Forty-four thousand racks all at once would therefore be comparable with a huge share of one year's current production. Spread over eight years, however, an average 5,500 deployments a year would be on a very different scale, and multi-vendor procurement would reduce concentration.</w:t>
      </w:r>
    </w:p>
    <w:bookmarkEnd w:id="29"/>
    <w:bookmarkStart w:id="31" w:name="recommended-capital-structure"/>
    <w:p>
      <w:pPr>
        <w:pStyle w:val="Heading3"/>
      </w:pPr>
      <w:r>
        <w:t xml:space="preserve">Recommended capital structure</w:t>
      </w:r>
    </w:p>
    <w:p>
      <w:pPr>
        <w:pStyle w:val="FirstParagraph"/>
      </w:pPr>
      <w:r>
        <w:t xml:space="preserve">I would structure the</w:t>
      </w:r>
      <w:r>
        <w:t xml:space="preserve"> </w:t>
      </w:r>
      <w:r>
        <w:rPr>
          <w:b/>
          <w:bCs/>
        </w:rPr>
        <w:t xml:space="preserve">GAJRA Civic AI Development Fund</w:t>
      </w:r>
      <w:r>
        <w:t xml:space="preserve"> </w:t>
      </w:r>
      <w:r>
        <w:t xml:space="preserve">as a regulated blended-finance infrastructure platform rather than a token treasury or conventional venture-capital fund.</w:t>
      </w:r>
    </w:p>
    <w:p>
      <w:pPr>
        <w:pStyle w:val="BodyText"/>
      </w:pPr>
      <w:r>
        <w:t xml:space="preserve">An illustrative A$250 billion use of capital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Fund allocation</w:t>
            </w:r>
          </w:p>
        </w:tc>
        <w:tc>
          <w:tcPr/>
          <w:p>
            <w:pPr>
              <w:pStyle w:val="Compact"/>
              <w:jc w:val="right"/>
            </w:pPr>
            <w:r>
              <w:t xml:space="preserve">A$bn</w:t>
            </w:r>
          </w:p>
        </w:tc>
        <w:tc>
          <w:tcPr/>
          <w:p>
            <w:pPr>
              <w:pStyle w:val="Compact"/>
            </w:pPr>
            <w:r>
              <w:t xml:space="preserve">Purpose</w:t>
            </w:r>
          </w:p>
        </w:tc>
      </w:tr>
      <w:tr>
        <w:tc>
          <w:tcPr/>
          <w:p>
            <w:pPr>
              <w:pStyle w:val="Compact"/>
            </w:pPr>
            <w:r>
              <w:t xml:space="preserve">Civic Compute Port and accelerator co-investment</w:t>
            </w:r>
          </w:p>
        </w:tc>
        <w:tc>
          <w:tcPr/>
          <w:p>
            <w:pPr>
              <w:pStyle w:val="Compact"/>
              <w:jc w:val="right"/>
            </w:pPr>
            <w:r>
              <w:t xml:space="preserve">145</w:t>
            </w:r>
          </w:p>
        </w:tc>
        <w:tc>
          <w:tcPr/>
          <w:p>
            <w:pPr>
              <w:pStyle w:val="Compact"/>
            </w:pPr>
            <w:r>
              <w:t xml:space="preserve">Core equity/grant contribution toward 44,000 sites</w:t>
            </w:r>
          </w:p>
        </w:tc>
      </w:tr>
      <w:tr>
        <w:tc>
          <w:tcPr/>
          <w:p>
            <w:pPr>
              <w:pStyle w:val="Compact"/>
            </w:pPr>
            <w:r>
              <w:t xml:space="preserve">Power, backhaul and cooling enabling works</w:t>
            </w:r>
          </w:p>
        </w:tc>
        <w:tc>
          <w:tcPr/>
          <w:p>
            <w:pPr>
              <w:pStyle w:val="Compact"/>
              <w:jc w:val="right"/>
            </w:pPr>
            <w:r>
              <w:t xml:space="preserve">30</w:t>
            </w:r>
          </w:p>
        </w:tc>
        <w:tc>
          <w:tcPr/>
          <w:p>
            <w:pPr>
              <w:pStyle w:val="Compact"/>
            </w:pPr>
            <w:r>
              <w:t xml:space="preserve">Grid connections, fibre, liquid loops, remote resilience</w:t>
            </w:r>
          </w:p>
        </w:tc>
      </w:tr>
      <w:tr>
        <w:tc>
          <w:tcPr/>
          <w:p>
            <w:pPr>
              <w:pStyle w:val="Compact"/>
            </w:pPr>
            <w:r>
              <w:t xml:space="preserve">Technology refresh reserve</w:t>
            </w:r>
          </w:p>
        </w:tc>
        <w:tc>
          <w:tcPr/>
          <w:p>
            <w:pPr>
              <w:pStyle w:val="Compact"/>
              <w:jc w:val="right"/>
            </w:pPr>
            <w:r>
              <w:t xml:space="preserve">20</w:t>
            </w:r>
          </w:p>
        </w:tc>
        <w:tc>
          <w:tcPr/>
          <w:p>
            <w:pPr>
              <w:pStyle w:val="Compact"/>
            </w:pPr>
            <w:r>
              <w:t xml:space="preserve">Prevent the network becoming a museum of 2028 accelerators</w:t>
            </w:r>
          </w:p>
        </w:tc>
      </w:tr>
      <w:tr>
        <w:tc>
          <w:tcPr/>
          <w:p>
            <w:pPr>
              <w:pStyle w:val="Compact"/>
            </w:pPr>
            <w:r>
              <w:t xml:space="preserve">Skills, local operations and workforce development</w:t>
            </w:r>
          </w:p>
        </w:tc>
        <w:tc>
          <w:tcPr/>
          <w:p>
            <w:pPr>
              <w:pStyle w:val="Compact"/>
              <w:jc w:val="right"/>
            </w:pPr>
            <w:r>
              <w:t xml:space="preserve">15</w:t>
            </w:r>
          </w:p>
        </w:tc>
        <w:tc>
          <w:tcPr/>
          <w:p>
            <w:pPr>
              <w:pStyle w:val="Compact"/>
            </w:pPr>
            <w:r>
              <w:t xml:space="preserve">Technicians, trainers, local developers, community capability</w:t>
            </w:r>
          </w:p>
        </w:tc>
      </w:tr>
      <w:tr>
        <w:tc>
          <w:tcPr/>
          <w:p>
            <w:pPr>
              <w:pStyle w:val="Compact"/>
            </w:pPr>
            <w:r>
              <w:t xml:space="preserve">Open software, models, interoperability and cybersecurity</w:t>
            </w:r>
          </w:p>
        </w:tc>
        <w:tc>
          <w:tcPr/>
          <w:p>
            <w:pPr>
              <w:pStyle w:val="Compact"/>
              <w:jc w:val="right"/>
            </w:pPr>
            <w:r>
              <w:t xml:space="preserve">12</w:t>
            </w:r>
          </w:p>
        </w:tc>
        <w:tc>
          <w:tcPr/>
          <w:p>
            <w:pPr>
              <w:pStyle w:val="Compact"/>
            </w:pPr>
            <w:r>
              <w:t xml:space="preserve">Global public technical layer</w:t>
            </w:r>
          </w:p>
        </w:tc>
      </w:tr>
      <w:tr>
        <w:tc>
          <w:tcPr/>
          <w:p>
            <w:pPr>
              <w:pStyle w:val="Compact"/>
            </w:pPr>
            <w:r>
              <w:t xml:space="preserve">Equity and remote-community cross-subsidy</w:t>
            </w:r>
          </w:p>
        </w:tc>
        <w:tc>
          <w:tcPr/>
          <w:p>
            <w:pPr>
              <w:pStyle w:val="Compact"/>
              <w:jc w:val="right"/>
            </w:pPr>
            <w:r>
              <w:t xml:space="preserve">10</w:t>
            </w:r>
          </w:p>
        </w:tc>
        <w:tc>
          <w:tcPr/>
          <w:p>
            <w:pPr>
              <w:pStyle w:val="Compact"/>
            </w:pPr>
            <w:r>
              <w:t xml:space="preserve">Small islands, Native Nations and commercially weak locations</w:t>
            </w:r>
          </w:p>
        </w:tc>
      </w:tr>
      <w:tr>
        <w:tc>
          <w:tcPr/>
          <w:p>
            <w:pPr>
              <w:pStyle w:val="Compact"/>
            </w:pPr>
            <w:r>
              <w:t xml:space="preserve">Technology-transition and project contingency</w:t>
            </w:r>
          </w:p>
        </w:tc>
        <w:tc>
          <w:tcPr/>
          <w:p>
            <w:pPr>
              <w:pStyle w:val="Compact"/>
              <w:jc w:val="right"/>
            </w:pPr>
            <w:r>
              <w:t xml:space="preserve">8</w:t>
            </w:r>
          </w:p>
        </w:tc>
        <w:tc>
          <w:tcPr/>
          <w:p>
            <w:pPr>
              <w:pStyle w:val="Compact"/>
            </w:pPr>
            <w:r>
              <w:t xml:space="preserve">Sudden accelerator/network architecture changes</w:t>
            </w:r>
          </w:p>
        </w:tc>
      </w:tr>
      <w:tr>
        <w:tc>
          <w:tcPr/>
          <w:p>
            <w:pPr>
              <w:pStyle w:val="Compact"/>
            </w:pPr>
            <w:r>
              <w:t xml:space="preserve">Insurance, audit, legal and programme assurance</w:t>
            </w:r>
          </w:p>
        </w:tc>
        <w:tc>
          <w:tcPr/>
          <w:p>
            <w:pPr>
              <w:pStyle w:val="Compact"/>
              <w:jc w:val="right"/>
            </w:pPr>
            <w:r>
              <w:t xml:space="preserve">5</w:t>
            </w:r>
          </w:p>
        </w:tc>
        <w:tc>
          <w:tcPr/>
          <w:p>
            <w:pPr>
              <w:pStyle w:val="Compact"/>
            </w:pPr>
            <w:r>
              <w:t xml:space="preserve">Global compliance and independent oversight</w:t>
            </w:r>
          </w:p>
        </w:tc>
      </w:tr>
      <w:tr>
        <w:tc>
          <w:tcPr/>
          <w:p>
            <w:pPr>
              <w:pStyle w:val="Compact"/>
            </w:pPr>
            <w:r>
              <w:t xml:space="preserve">Demonstrators and pre-commercial R&amp;D</w:t>
            </w:r>
          </w:p>
        </w:tc>
        <w:tc>
          <w:tcPr/>
          <w:p>
            <w:pPr>
              <w:pStyle w:val="Compact"/>
              <w:jc w:val="right"/>
            </w:pPr>
            <w:r>
              <w:t xml:space="preserve">5</w:t>
            </w:r>
          </w:p>
        </w:tc>
        <w:tc>
          <w:tcPr/>
          <w:p>
            <w:pPr>
              <w:pStyle w:val="Compact"/>
            </w:pPr>
            <w:r>
              <w:t xml:space="preserve">Dunwich and representative global pilots</w:t>
            </w:r>
          </w:p>
        </w:tc>
      </w:tr>
      <w:tr>
        <w:tc>
          <w:tcPr/>
          <w:p>
            <w:pPr>
              <w:pStyle w:val="Compact"/>
            </w:pPr>
            <w:r>
              <w:rPr>
                <w:b/>
                <w:bCs/>
              </w:rPr>
              <w:t xml:space="preserve">Total</w:t>
            </w:r>
          </w:p>
        </w:tc>
        <w:tc>
          <w:tcPr/>
          <w:p>
            <w:pPr>
              <w:pStyle w:val="Compact"/>
              <w:jc w:val="right"/>
            </w:pPr>
            <w:r>
              <w:rPr>
                <w:b/>
                <w:bCs/>
              </w:rPr>
              <w:t xml:space="preserve">250</w:t>
            </w:r>
          </w:p>
        </w:tc>
        <w:tc>
          <w:tcPr/>
          <w:p>
            <w:pPr>
              <w:pStyle w:val="Compact"/>
            </w:pPr>
          </w:p>
        </w:tc>
      </w:tr>
    </w:tbl>
    <w:p>
      <w:pPr>
        <w:pStyle w:val="BodyText"/>
      </w:pPr>
      <w:r>
        <w:t xml:space="preserve">The target should then be to mobilise approximately</w:t>
      </w:r>
      <w:r>
        <w:t xml:space="preserve"> </w:t>
      </w:r>
      <w:r>
        <w:rPr>
          <w:b/>
          <w:bCs/>
        </w:rPr>
        <w:t xml:space="preserve">A$100–150 billion additional project capital</w:t>
      </w:r>
      <w:r>
        <w:t xml:space="preserve">, taking gross infrastructure deployment toward</w:t>
      </w:r>
      <w:r>
        <w:t xml:space="preserve"> </w:t>
      </w:r>
      <w:r>
        <w:rPr>
          <w:b/>
          <w:bCs/>
        </w:rPr>
        <w:t xml:space="preserve">A$350–400 billion</w:t>
      </w:r>
      <w:r>
        <w:t xml:space="preserve">. This is the range in which full contemporary rack-scale equipment, site infrastructure and meaningful lifecycle reserves become more credible without assuming miraculous hardware deflation.</w:t>
      </w:r>
    </w:p>
    <w:p>
      <w:pPr>
        <w:pStyle w:val="BodyText"/>
      </w:pPr>
      <w:r>
        <w:t xml:space="preserve">That co-investment can come from national and state governments, multilateral development banks, municipalities, utilities, telcos, universities, strategic technology vendors, pension/sovereign investors, foundations and long-term compute customers. The UN Global Digital Compact makes the international policy environment unusually compatible with such a proposition: it calls for greater investment in digital public infrastructure, interoperable national data-governance frameworks, AI capacity-building partnerships and consideration of options for a</w:t>
      </w:r>
      <w:r>
        <w:t xml:space="preserve"> </w:t>
      </w:r>
      <w:r>
        <w:rPr>
          <w:b/>
          <w:bCs/>
        </w:rPr>
        <w:t xml:space="preserve">Global Fund on AI</w:t>
      </w:r>
      <w:r>
        <w:t xml:space="preserve">.</w:t>
      </w:r>
      <w:r>
        <w:t xml:space="preserve"> </w:t>
      </w:r>
      <w:hyperlink r:id="rId30">
        <w:r>
          <w:rPr>
            <w:rStyle w:val="Hyperlink"/>
          </w:rPr>
          <w:t xml:space="preserve">[19]</w:t>
        </w:r>
      </w:hyperlink>
      <w:r>
        <w:t xml:space="preserve"> </w:t>
      </w:r>
      <w:r>
        <w:t xml:space="preserve">GAJRA need not become that UN fund; it could become one concrete, independently governed implementation model for the same capacity-building problem.</w:t>
      </w:r>
    </w:p>
    <w:p>
      <w:pPr>
        <w:pStyle w:val="BodyText"/>
      </w:pPr>
      <w:r>
        <w:t xml:space="preserve">The fund itself should contain distinct risk/return tranches. A public/philanthropic</w:t>
      </w:r>
      <w:r>
        <w:t xml:space="preserve"> </w:t>
      </w:r>
      <w:r>
        <w:rPr>
          <w:b/>
          <w:bCs/>
        </w:rPr>
        <w:t xml:space="preserve">Commons tranche</w:t>
      </w:r>
      <w:r>
        <w:t xml:space="preserve"> </w:t>
      </w:r>
      <w:r>
        <w:t xml:space="preserve">absorbs first-loss and funds communities where market demand can never justify the infrastructure. A</w:t>
      </w:r>
      <w:r>
        <w:t xml:space="preserve"> </w:t>
      </w:r>
      <w:r>
        <w:rPr>
          <w:b/>
          <w:bCs/>
        </w:rPr>
        <w:t xml:space="preserve">Core Infrastructure tranche</w:t>
      </w:r>
      <w:r>
        <w:t xml:space="preserve"> </w:t>
      </w:r>
      <w:r>
        <w:t xml:space="preserve">finances sites with long-term public or institutional capacity contracts. A</w:t>
      </w:r>
      <w:r>
        <w:t xml:space="preserve"> </w:t>
      </w:r>
      <w:r>
        <w:rPr>
          <w:b/>
          <w:bCs/>
        </w:rPr>
        <w:t xml:space="preserve">Strategic Innovation tranche</w:t>
      </w:r>
      <w:r>
        <w:t xml:space="preserve"> </w:t>
      </w:r>
      <w:r>
        <w:t xml:space="preserve">brings vendors, telcos and industrial partners into competitive co-investment without giving them control of the protocol. Returns should be based on contracted infrastructure cash flows rather than token appreciation.</w:t>
      </w:r>
    </w:p>
    <w:bookmarkEnd w:id="31"/>
    <w:bookmarkStart w:id="32" w:name="how-a-local-hub-earns-money"/>
    <w:p>
      <w:pPr>
        <w:pStyle w:val="Heading3"/>
      </w:pPr>
      <w:r>
        <w:t xml:space="preserve">How a local hub earns money</w:t>
      </w:r>
    </w:p>
    <w:p>
      <w:pPr>
        <w:pStyle w:val="FirstParagraph"/>
      </w:pPr>
      <w:r>
        <w:t xml:space="preserve">The business model should deliberately braid</w:t>
      </w:r>
      <w:r>
        <w:t xml:space="preserve"> </w:t>
      </w:r>
      <w:r>
        <w:rPr>
          <w:b/>
          <w:bCs/>
        </w:rPr>
        <w:t xml:space="preserve">public-infrastructure economics and competitive market economics</w:t>
      </w:r>
      <w:r>
        <w:t xml:space="preserve">.</w:t>
      </w:r>
    </w:p>
    <w:p>
      <w:pPr>
        <w:pStyle w:val="BodyText"/>
      </w:pPr>
      <w:r>
        <w:t xml:space="preserve">A site should not be expected to survive solely by hoping local residents rent 72 GPUs. Smaller communities will not produce a smooth commercial load curve. Instead, financial close should require a base of long-term</w:t>
      </w:r>
      <w:r>
        <w:t xml:space="preserve"> </w:t>
      </w:r>
      <w:r>
        <w:rPr>
          <w:b/>
          <w:bCs/>
        </w:rPr>
        <w:t xml:space="preserve">availability contracts</w:t>
      </w:r>
      <w:r>
        <w:t xml:space="preserve"> </w:t>
      </w:r>
      <w:r>
        <w:t xml:space="preserve">that pay for sovereign capability to exist, just as governments pay for emergency, telecommunications, research and transport capacity even when it is not continuously saturated.</w:t>
      </w:r>
    </w:p>
    <w:p>
      <w:pPr>
        <w:pStyle w:val="BodyText"/>
      </w:pPr>
      <w:r>
        <w:t xml:space="preserve">The recurring revenue stack can combine: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Revenue stream</w:t>
            </w:r>
          </w:p>
        </w:tc>
        <w:tc>
          <w:tcPr/>
          <w:p>
            <w:pPr>
              <w:pStyle w:val="Compact"/>
            </w:pPr>
            <w:r>
              <w:t xml:space="preserve">Function</w:t>
            </w:r>
          </w:p>
        </w:tc>
      </w:tr>
      <w:tr>
        <w:tc>
          <w:tcPr/>
          <w:p>
            <w:pPr>
              <w:pStyle w:val="Compact"/>
            </w:pPr>
            <w:r>
              <w:t xml:space="preserve">National/state/local sovereign-capacity reservations</w:t>
            </w:r>
          </w:p>
        </w:tc>
        <w:tc>
          <w:tcPr/>
          <w:p>
            <w:pPr>
              <w:pStyle w:val="Compact"/>
            </w:pPr>
            <w:r>
              <w:t xml:space="preserve">Pays for guaranteed local compute, emergency capability and government workloads</w:t>
            </w:r>
          </w:p>
        </w:tc>
      </w:tr>
      <w:tr>
        <w:tc>
          <w:tcPr/>
          <w:p>
            <w:pPr>
              <w:pStyle w:val="Compact"/>
            </w:pPr>
            <w:r>
              <w:t xml:space="preserve">Universities and research institutions</w:t>
            </w:r>
          </w:p>
        </w:tc>
        <w:tc>
          <w:tcPr/>
          <w:p>
            <w:pPr>
              <w:pStyle w:val="Compact"/>
            </w:pPr>
            <w:r>
              <w:t xml:space="preserve">Simulation, research inference, federated studies and student access</w:t>
            </w:r>
          </w:p>
        </w:tc>
      </w:tr>
      <w:tr>
        <w:tc>
          <w:tcPr/>
          <w:p>
            <w:pPr>
              <w:pStyle w:val="Compact"/>
            </w:pPr>
            <w:r>
              <w:t xml:space="preserve">Local SMEs and startups</w:t>
            </w:r>
          </w:p>
        </w:tc>
        <w:tc>
          <w:tcPr/>
          <w:p>
            <w:pPr>
              <w:pStyle w:val="Compact"/>
            </w:pPr>
            <w:r>
              <w:t xml:space="preserve">Commercial inference, model hosting, fine-tuning and development</w:t>
            </w:r>
          </w:p>
        </w:tc>
      </w:tr>
      <w:tr>
        <w:tc>
          <w:tcPr/>
          <w:p>
            <w:pPr>
              <w:pStyle w:val="Compact"/>
            </w:pPr>
            <w:r>
              <w:t xml:space="preserve">AI/platform partners</w:t>
            </w:r>
          </w:p>
        </w:tc>
        <w:tc>
          <w:tcPr/>
          <w:p>
            <w:pPr>
              <w:pStyle w:val="Compact"/>
            </w:pPr>
            <w:r>
              <w:t xml:space="preserve">Edge inference, caching, overflow and regional services under open interoperability rules</w:t>
            </w:r>
          </w:p>
        </w:tc>
      </w:tr>
      <w:tr>
        <w:tc>
          <w:tcPr/>
          <w:p>
            <w:pPr>
              <w:pStyle w:val="Compact"/>
            </w:pPr>
            <w:r>
              <w:t xml:space="preserve">Digital-twin services</w:t>
            </w:r>
          </w:p>
        </w:tc>
        <w:tc>
          <w:tcPr/>
          <w:p>
            <w:pPr>
              <w:pStyle w:val="Compact"/>
            </w:pPr>
            <w:r>
              <w:t xml:space="preserve">Planning, environmental modelling, transport, infrastructure and civic simulation</w:t>
            </w:r>
          </w:p>
        </w:tc>
      </w:tr>
      <w:tr>
        <w:tc>
          <w:tcPr/>
          <w:p>
            <w:pPr>
              <w:pStyle w:val="Compact"/>
            </w:pPr>
            <w:r>
              <w:t xml:space="preserve">Education and certification</w:t>
            </w:r>
          </w:p>
        </w:tc>
        <w:tc>
          <w:tcPr/>
          <w:p>
            <w:pPr>
              <w:pStyle w:val="Compact"/>
            </w:pPr>
            <w:r>
              <w:t xml:space="preserve">TAFE/school/university/industry training and field-engineering programmes</w:t>
            </w:r>
          </w:p>
        </w:tc>
      </w:tr>
      <w:tr>
        <w:tc>
          <w:tcPr/>
          <w:p>
            <w:pPr>
              <w:pStyle w:val="Compact"/>
            </w:pPr>
            <w:r>
              <w:t xml:space="preserve">Civic-commons contract</w:t>
            </w:r>
          </w:p>
        </w:tc>
        <w:tc>
          <w:tcPr/>
          <w:p>
            <w:pPr>
              <w:pStyle w:val="Compact"/>
            </w:pPr>
            <w:r>
              <w:t xml:space="preserve">Guarantees a quota for community, C-Hour, nonprofit and citizen-science use</w:t>
            </w:r>
          </w:p>
        </w:tc>
      </w:tr>
      <w:tr>
        <w:tc>
          <w:tcPr/>
          <w:p>
            <w:pPr>
              <w:pStyle w:val="Compact"/>
            </w:pPr>
            <w:r>
              <w:t xml:space="preserve">Cross-node science</w:t>
            </w:r>
          </w:p>
        </w:tc>
        <w:tc>
          <w:tcPr/>
          <w:p>
            <w:pPr>
              <w:pStyle w:val="Compact"/>
            </w:pPr>
            <w:r>
              <w:t xml:space="preserve">Batch scientific workloads that can tolerate geographic distribution</w:t>
            </w:r>
          </w:p>
        </w:tc>
      </w:tr>
    </w:tbl>
    <w:p>
      <w:pPr>
        <w:pStyle w:val="BodyText"/>
      </w:pPr>
      <w:r>
        <w:t xml:space="preserve">The critical rule is:</w:t>
      </w:r>
    </w:p>
    <w:p>
      <w:pPr>
        <w:pStyle w:val="BlockText"/>
      </w:pPr>
      <w:r>
        <w:rPr>
          <w:b/>
          <w:bCs/>
        </w:rPr>
        <w:t xml:space="preserve">Investors buy rights to infrastructure cash flows, never rights to citizen data.</w:t>
      </w:r>
    </w:p>
    <w:p>
      <w:pPr>
        <w:pStyle w:val="FirstParagraph"/>
      </w:pPr>
      <w:r>
        <w:t xml:space="preserve">Personal data, community data, Country data, cultural knowledge and local model memories cannot become fund collateral. That firewall is central to the sovereign value proposition.</w:t>
      </w:r>
    </w:p>
    <w:p>
      <w:pPr>
        <w:pStyle w:val="BodyText"/>
      </w:pPr>
      <w:r>
        <w:t xml:space="preserve">Hardware should normally be financed on shorter leases than the facility. The port can have a 20–30 year asset life; the accelerator layer should operate under rolling competitive lease/refinancing windows. A planning assumption of a five- or six-year accelerator refresh, reviewed continuously, prevents the fund from having to finance three decades of silicon on day one.</w:t>
      </w:r>
    </w:p>
    <w:p>
      <w:pPr>
        <w:pStyle w:val="BodyText"/>
      </w:pPr>
      <w:r>
        <w:t xml:space="preserve">The business model should also maintain a</w:t>
      </w:r>
      <w:r>
        <w:t xml:space="preserve"> </w:t>
      </w:r>
      <w:r>
        <w:rPr>
          <w:b/>
          <w:bCs/>
        </w:rPr>
        <w:t xml:space="preserve">hardware replacement reserve before distributing profits</w:t>
      </w:r>
      <w:r>
        <w:t xml:space="preserve">. A local node that boasts a healthy operating margin while accumulating no capital for the next generation of accelerators is not financially sustainable.</w:t>
      </w:r>
    </w:p>
    <w:p>
      <w:pPr>
        <w:pStyle w:val="BodyText"/>
      </w:pPr>
      <w:r>
        <w:t xml:space="preserve">Under a scenario of 60% utilisation, PUE 1.15 and electricity prices between A$0.10 and A$0.25/kWh, the full network's electricity alone would cost approximately</w:t>
      </w:r>
      <w:r>
        <w:t xml:space="preserve"> </w:t>
      </w:r>
      <w:r>
        <w:rPr>
          <w:b/>
          <w:bCs/>
        </w:rPr>
        <w:t xml:space="preserve">A$3.8–9.4 billion annually</w:t>
      </w:r>
      <w:r>
        <w:t xml:space="preserve">. That range is a planning scenario derived from the 37.8 TWh calculation, not an electricity-price forecast. It illustrates why recurring revenues, energy procurement and lifecycle capital matter just as much as the initial A$250 billion.</w:t>
      </w:r>
    </w:p>
    <w:bookmarkEnd w:id="32"/>
    <w:bookmarkStart w:id="33" w:name="an-australian-first-node"/>
    <w:p>
      <w:pPr>
        <w:pStyle w:val="Heading3"/>
      </w:pPr>
      <w:r>
        <w:t xml:space="preserve">An Australian first node</w:t>
      </w:r>
    </w:p>
    <w:p>
      <w:pPr>
        <w:pStyle w:val="FirstParagraph"/>
      </w:pPr>
      <w:r>
        <w:t xml:space="preserve">The Dunwich idea is particularly useful precisely because it can discover what the spreadsheet cannot.</w:t>
      </w:r>
    </w:p>
    <w:p>
      <w:pPr>
        <w:pStyle w:val="BodyText"/>
      </w:pPr>
      <w:r>
        <w:t xml:space="preserve">The pilot should test two configurations:</w:t>
      </w:r>
    </w:p>
    <w:p>
      <w:pPr>
        <w:pStyle w:val="BodyText"/>
      </w:pPr>
      <w:r>
        <w:rPr>
          <w:b/>
          <w:bCs/>
        </w:rPr>
        <w:t xml:space="preserve">Full Civic Compute Class:</w:t>
      </w:r>
      <w:r>
        <w:t xml:space="preserve"> </w:t>
      </w:r>
      <w:r>
        <w:t xml:space="preserve">a complete current rack if local power, cooling, network and financing support it.</w:t>
      </w:r>
    </w:p>
    <w:p>
      <w:pPr>
        <w:pStyle w:val="BodyText"/>
      </w:pPr>
      <w:r>
        <w:rPr>
          <w:b/>
          <w:bCs/>
        </w:rPr>
        <w:t xml:space="preserve">Modular Civic Compute Port:</w:t>
      </w:r>
      <w:r>
        <w:t xml:space="preserve"> </w:t>
      </w:r>
      <w:r>
        <w:t xml:space="preserve">install the permanent 200-ish kW-ready facility and initially populate it with the capacity actually justified by demand, then scale the accelerators without rebuilding the site.</w:t>
      </w:r>
    </w:p>
    <w:p>
      <w:pPr>
        <w:pStyle w:val="BodyText"/>
      </w:pPr>
      <w:r>
        <w:t xml:space="preserve">A rigorous 18–24 month pilot should answer actual investment questions: utilisation by hour, willingness of councils/SMEs/researchers to pay, training uptake, real cooling and energy costs, network bottlenecks, local model usefulness, security burden, staffing levels, C-Hour participation, emergency operation and community social licence.</w:t>
      </w:r>
    </w:p>
    <w:p>
      <w:pPr>
        <w:pStyle w:val="BodyText"/>
      </w:pPr>
      <w:r>
        <w:t xml:space="preserve">CSIRO's Vetra makes an obvious benchmarking partner or design reference because it has already demonstrated a replicable Australian edge-core-cloud architecture, including modular physical AI infrastructure rather than a cloud-only model.</w:t>
      </w:r>
      <w:r>
        <w:t xml:space="preserve"> </w:t>
      </w:r>
      <w:hyperlink r:id="rId10">
        <w:r>
          <w:rPr>
            <w:rStyle w:val="Hyperlink"/>
          </w:rPr>
          <w:t xml:space="preserve">[1]</w:t>
        </w:r>
      </w:hyperlink>
      <w:r>
        <w:t xml:space="preserve"> </w:t>
      </w:r>
      <w:r>
        <w:t xml:space="preserve">The current LDPP window creates a practical near-term financing pathway for some of the infrastructure/capability work, subject to eligibility, partnership and assessment rather than any presumption of funding.</w:t>
      </w:r>
      <w:r>
        <w:t xml:space="preserve"> </w:t>
      </w:r>
      <w:hyperlink r:id="rId20">
        <w:r>
          <w:rPr>
            <w:rStyle w:val="Hyperlink"/>
          </w:rPr>
          <w:t xml:space="preserve">[10]</w:t>
        </w:r>
      </w:hyperlink>
    </w:p>
    <w:bookmarkEnd w:id="33"/>
    <w:bookmarkEnd w:id="34"/>
    <w:bookmarkStart w:id="41" w:name="X045e9b0e09ba84a231632e753b4248a3990e41b"/>
    <w:p>
      <w:pPr>
        <w:pStyle w:val="Heading2"/>
      </w:pPr>
      <w:r>
        <w:t xml:space="preserve">Sovereign interoperability and institutional governance</w:t>
      </w:r>
    </w:p>
    <w:p>
      <w:pPr>
        <w:pStyle w:val="FirstParagraph"/>
      </w:pPr>
      <w:r>
        <w:t xml:space="preserve">The phrase</w:t>
      </w:r>
      <w:r>
        <w:t xml:space="preserve"> </w:t>
      </w:r>
      <w:r>
        <w:rPr>
          <w:b/>
          <w:bCs/>
        </w:rPr>
        <w:t xml:space="preserve">“sovereign interoperability layer that respects differences and similarities in equal measure”</w:t>
      </w:r>
      <w:r>
        <w:t xml:space="preserve"> </w:t>
      </w:r>
      <w:r>
        <w:t xml:space="preserve">can become a precise technical and constitutional principle rather than simply a beautiful slogan.</w:t>
      </w:r>
    </w:p>
    <w:p>
      <w:pPr>
        <w:pStyle w:val="BodyText"/>
      </w:pPr>
      <w:r>
        <w:t xml:space="preserve">The similarities belong in</w:t>
      </w:r>
      <w:r>
        <w:t xml:space="preserve"> </w:t>
      </w:r>
      <w:r>
        <w:rPr>
          <w:b/>
          <w:bCs/>
        </w:rPr>
        <w:t xml:space="preserve">open interfaces</w:t>
      </w:r>
      <w:r>
        <w:t xml:space="preserve">.</w:t>
      </w:r>
    </w:p>
    <w:p>
      <w:pPr>
        <w:pStyle w:val="BodyText"/>
      </w:pPr>
      <w:r>
        <w:t xml:space="preserve">The differences belong in</w:t>
      </w:r>
      <w:r>
        <w:t xml:space="preserve"> </w:t>
      </w:r>
      <w:r>
        <w:rPr>
          <w:b/>
          <w:bCs/>
        </w:rPr>
        <w:t xml:space="preserve">sovereign policies carried through those interfaces</w:t>
      </w:r>
      <w:r>
        <w:t xml:space="preserve">.</w:t>
      </w:r>
    </w:p>
    <w:p>
      <w:pPr>
        <w:pStyle w:val="BodyText"/>
      </w:pPr>
      <w:r>
        <w:t xml:space="preserve">In other words, the system should standardise</w:t>
      </w:r>
      <w:r>
        <w:t xml:space="preserve"> </w:t>
      </w:r>
      <w:r>
        <w:rPr>
          <w:b/>
          <w:bCs/>
        </w:rPr>
        <w:t xml:space="preserve">how two communities negotiate</w:t>
      </w:r>
      <w:r>
        <w:t xml:space="preserve">, not standardise what every community is required to believe, disclose or permit.</w:t>
      </w:r>
    </w:p>
    <w:bookmarkStart w:id="36" w:name="the-sovereignty-fabric"/>
    <w:p>
      <w:pPr>
        <w:pStyle w:val="Heading3"/>
      </w:pPr>
      <w:r>
        <w:t xml:space="preserve">The sovereignty fabric</w:t>
      </w:r>
    </w:p>
    <w:p>
      <w:pPr>
        <w:pStyle w:val="FirstParagraph"/>
      </w:pPr>
      <w:r>
        <w:t xml:space="preserve">Every node should implement a common set of protocol planes.</w:t>
      </w:r>
    </w:p>
    <w:p>
      <w:pPr>
        <w:pStyle w:val="BodyText"/>
      </w:pPr>
      <w:r>
        <w:rPr>
          <w:b/>
          <w:bCs/>
        </w:rPr>
        <w:t xml:space="preserve">Identity and credentials.</w:t>
      </w:r>
      <w:r>
        <w:t xml:space="preserve"> </w:t>
      </w:r>
      <w:r>
        <w:t xml:space="preserve">Individuals and organisations hold portable credentials rather than platform-specific accounts wherever practical. W3C Verifiable Credentials 2.0 became a Recommendation in May 2025 and provides cryptographically secured, machine-verifiable, privacy-aware credentials with extensibility for different contexts.</w:t>
      </w:r>
      <w:r>
        <w:t xml:space="preserve"> </w:t>
      </w:r>
      <w:hyperlink r:id="rId35">
        <w:r>
          <w:rPr>
            <w:rStyle w:val="Hyperlink"/>
          </w:rPr>
          <w:t xml:space="preserve">[20]</w:t>
        </w:r>
      </w:hyperlink>
      <w:r>
        <w:t xml:space="preserve"> </w:t>
      </w:r>
      <w:r>
        <w:t xml:space="preserve">This is a natural substrate for contribution attestations, organisational authority, training qualifications and local permissions.</w:t>
      </w:r>
    </w:p>
    <w:p>
      <w:pPr>
        <w:pStyle w:val="BodyText"/>
      </w:pPr>
      <w:r>
        <w:rPr>
          <w:b/>
          <w:bCs/>
        </w:rPr>
        <w:t xml:space="preserve">Data and consent.</w:t>
      </w:r>
      <w:r>
        <w:t xml:space="preserve"> </w:t>
      </w:r>
      <w:r>
        <w:t xml:space="preserve">Raw personal data should remain local by default. A policy object can state who controls data, permissible purposes, whether training is allowed, whether inference is allowed, retention period, geographic restrictions, onward-sharing rules and revocation state. Models travel to data wherever technically practical rather than treating data centralisation as the default.</w:t>
      </w:r>
    </w:p>
    <w:p>
      <w:pPr>
        <w:pStyle w:val="BodyText"/>
      </w:pPr>
      <w:r>
        <w:rPr>
          <w:b/>
          <w:bCs/>
        </w:rPr>
        <w:t xml:space="preserve">Workload portability.</w:t>
      </w:r>
      <w:r>
        <w:t xml:space="preserve"> </w:t>
      </w:r>
      <w:r>
        <w:t xml:space="preserve">Models and applications should be deployable against multiple accelerator stacks. The fund should require portable containers, open model formats where feasible, reproducible manifests and published benchmark suites. No vendor should be allowed to make the whole Civic Commons dependent on its scheduler, identity system or proprietary data layer.</w:t>
      </w:r>
    </w:p>
    <w:p>
      <w:pPr>
        <w:pStyle w:val="BodyText"/>
      </w:pPr>
      <w:r>
        <w:rPr>
          <w:b/>
          <w:bCs/>
        </w:rPr>
        <w:t xml:space="preserve">Provenance and trust.</w:t>
      </w:r>
      <w:r>
        <w:t xml:space="preserve"> </w:t>
      </w:r>
      <w:r>
        <w:t xml:space="preserve">Models, datasets, software packages and important AI-generated civic claims carry signed provenance, versions, source classes and uncertainty information. This extends a good idea already present in the uploads: observation, established model, inference, disputed proposition and imaginative scenario should not silently collapse into one undifferentiated “AI answer”. fileciteturn0file1</w:t>
      </w:r>
    </w:p>
    <w:p>
      <w:pPr>
        <w:pStyle w:val="BodyText"/>
      </w:pPr>
      <w:r>
        <w:rPr>
          <w:b/>
          <w:bCs/>
        </w:rPr>
        <w:t xml:space="preserve">Federation.</w:t>
      </w:r>
      <w:r>
        <w:t xml:space="preserve"> </w:t>
      </w:r>
      <w:r>
        <w:t xml:space="preserve">Nodes discover and negotiate with one another through the common layer, but participation never implies automatic raw-data replication upwards. A town can join a global scientific model by sending an authorised aggregate, parameter update or zero-knowledge/selectively disclosed proof rather than surrendering the underlying records.</w:t>
      </w:r>
    </w:p>
    <w:bookmarkEnd w:id="36"/>
    <w:bookmarkStart w:id="38" w:name="difference-must-have-technical-force"/>
    <w:p>
      <w:pPr>
        <w:pStyle w:val="Heading3"/>
      </w:pPr>
      <w:r>
        <w:t xml:space="preserve">Difference must have technical force</w:t>
      </w:r>
    </w:p>
    <w:p>
      <w:pPr>
        <w:pStyle w:val="FirstParagraph"/>
      </w:pPr>
      <w:r>
        <w:t xml:space="preserve">Indigenous data governance provides perhaps the clearest test of whether this is genuine sovereignty or merely decentralisation theatre.</w:t>
      </w:r>
    </w:p>
    <w:p>
      <w:pPr>
        <w:pStyle w:val="BodyText"/>
      </w:pPr>
      <w:r>
        <w:t xml:space="preserve">The CARE Principles complement technically focused FAIR principles with</w:t>
      </w:r>
      <w:r>
        <w:t xml:space="preserve"> </w:t>
      </w:r>
      <w:r>
        <w:rPr>
          <w:b/>
          <w:bCs/>
        </w:rPr>
        <w:t xml:space="preserve">Collective Benefit, Authority to Control, Responsibility and Ethics</w:t>
      </w:r>
      <w:r>
        <w:t xml:space="preserve">, explicitly centring Indigenous self-determination and authority over data.</w:t>
      </w:r>
      <w:r>
        <w:t xml:space="preserve"> </w:t>
      </w:r>
      <w:hyperlink r:id="rId37">
        <w:r>
          <w:rPr>
            <w:rStyle w:val="Hyperlink"/>
          </w:rPr>
          <w:t xml:space="preserve">[21]</w:t>
        </w:r>
      </w:hyperlink>
      <w:r>
        <w:t xml:space="preserve"> </w:t>
      </w:r>
      <w:r>
        <w:t xml:space="preserve">The uploaded Australian proposal reaches the same conclusion: First Nations/Native Nations should constitute a sovereignty plane intersecting local, state, national and global layers, not one lower rung beneath municipal government. fileciteturn0file1</w:t>
      </w:r>
    </w:p>
    <w:p>
      <w:pPr>
        <w:pStyle w:val="BodyText"/>
      </w:pPr>
      <w:r>
        <w:t xml:space="preserve">A Quandamooka-governed dataset, for example, should be capable of saying technically—not merely in a PDF policy—that particular cultural material may:</w:t>
      </w:r>
    </w:p>
    <w:p>
      <w:pPr>
        <w:pStyle w:val="Compact"/>
        <w:numPr>
          <w:ilvl w:val="0"/>
          <w:numId w:val="1001"/>
        </w:numPr>
      </w:pPr>
      <w:r>
        <w:t xml:space="preserve">remain on Country;</w:t>
      </w:r>
    </w:p>
    <w:p>
      <w:pPr>
        <w:pStyle w:val="Compact"/>
        <w:numPr>
          <w:ilvl w:val="0"/>
          <w:numId w:val="1001"/>
        </w:numPr>
      </w:pPr>
      <w:r>
        <w:t xml:space="preserve">be available only to specified custodians;</w:t>
      </w:r>
    </w:p>
    <w:p>
      <w:pPr>
        <w:pStyle w:val="Compact"/>
        <w:numPr>
          <w:ilvl w:val="0"/>
          <w:numId w:val="1001"/>
        </w:numPr>
      </w:pPr>
      <w:r>
        <w:t xml:space="preserve">support inference but not training;</w:t>
      </w:r>
    </w:p>
    <w:p>
      <w:pPr>
        <w:pStyle w:val="Compact"/>
        <w:numPr>
          <w:ilvl w:val="0"/>
          <w:numId w:val="1001"/>
        </w:numPr>
      </w:pPr>
      <w:r>
        <w:t xml:space="preserve">support one approved research purpose but no unrelated commercial purpose;</w:t>
      </w:r>
    </w:p>
    <w:p>
      <w:pPr>
        <w:pStyle w:val="Compact"/>
        <w:numPr>
          <w:ilvl w:val="0"/>
          <w:numId w:val="1001"/>
        </w:numPr>
      </w:pPr>
      <w:r>
        <w:t xml:space="preserve">carry culturally specific provenance and authority metadata;</w:t>
      </w:r>
    </w:p>
    <w:p>
      <w:pPr>
        <w:pStyle w:val="Compact"/>
        <w:numPr>
          <w:ilvl w:val="0"/>
          <w:numId w:val="1001"/>
        </w:numPr>
      </w:pPr>
      <w:r>
        <w:t xml:space="preserve">be revoked from future use according to agreed governance.</w:t>
      </w:r>
    </w:p>
    <w:p>
      <w:pPr>
        <w:pStyle w:val="FirstParagraph"/>
      </w:pPr>
      <w:r>
        <w:t xml:space="preserve">The same mechanism generalises to medical data, children's data, commercial secrets, national-security information, minority-language resources and personal digital twins.</w:t>
      </w:r>
    </w:p>
    <w:p>
      <w:pPr>
        <w:pStyle w:val="BodyText"/>
      </w:pPr>
      <w:r>
        <w:t xml:space="preserve">This is what “differences and similarities in equal measure” can mean:</w:t>
      </w:r>
      <w:r>
        <w:t xml:space="preserve"> </w:t>
      </w:r>
      <w:r>
        <w:rPr>
          <w:b/>
          <w:bCs/>
        </w:rPr>
        <w:t xml:space="preserve">equal capacity to express different boundaries</w:t>
      </w:r>
      <w:r>
        <w:t xml:space="preserve">.</w:t>
      </w:r>
    </w:p>
    <w:bookmarkEnd w:id="38"/>
    <w:bookmarkStart w:id="40" w:name="institutional-architecture"/>
    <w:p>
      <w:pPr>
        <w:pStyle w:val="Heading3"/>
      </w:pPr>
      <w:r>
        <w:t xml:space="preserve">Institutional architecture</w:t>
      </w:r>
    </w:p>
    <w:p>
      <w:pPr>
        <w:pStyle w:val="FirstParagraph"/>
      </w:pPr>
      <w:r>
        <w:t xml:space="preserve">No single global GAJRA organisation should own 44,000 racks and their data. That would recreate the centralisation problem in a friendlier logo.</w:t>
      </w:r>
    </w:p>
    <w:p>
      <w:pPr>
        <w:pStyle w:val="BodyText"/>
      </w:pPr>
      <w:r>
        <w:t xml:space="preserve">I would separate the institutional stack: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Institution</w:t>
            </w:r>
          </w:p>
        </w:tc>
        <w:tc>
          <w:tcPr/>
          <w:p>
            <w:pPr>
              <w:pStyle w:val="Compact"/>
            </w:pPr>
            <w:r>
              <w:t xml:space="preserve">Role</w:t>
            </w:r>
          </w:p>
        </w:tc>
      </w:tr>
      <w:tr>
        <w:tc>
          <w:tcPr/>
          <w:p>
            <w:pPr>
              <w:pStyle w:val="Compact"/>
            </w:pPr>
            <w:r>
              <w:rPr>
                <w:b/>
                <w:bCs/>
              </w:rPr>
              <w:t xml:space="preserve">GAJRA Earth Foundation</w:t>
            </w:r>
          </w:p>
        </w:tc>
        <w:tc>
          <w:tcPr/>
          <w:p>
            <w:pPr>
              <w:pStyle w:val="Compact"/>
            </w:pPr>
            <w:r>
              <w:t xml:space="preserve">Mission, open standards, certification, public-interest charter, interoperability protocol</w:t>
            </w:r>
          </w:p>
        </w:tc>
      </w:tr>
      <w:tr>
        <w:tc>
          <w:tcPr/>
          <w:p>
            <w:pPr>
              <w:pStyle w:val="Compact"/>
            </w:pPr>
            <w:r>
              <w:rPr>
                <w:b/>
                <w:bCs/>
              </w:rPr>
              <w:t xml:space="preserve">GAJRA Civic AI Development Fund</w:t>
            </w:r>
          </w:p>
        </w:tc>
        <w:tc>
          <w:tcPr/>
          <w:p>
            <w:pPr>
              <w:pStyle w:val="Compact"/>
            </w:pPr>
            <w:r>
              <w:t xml:space="preserve">Regulated capital allocation and infrastructure finance; no control over citizen data</w:t>
            </w:r>
          </w:p>
        </w:tc>
      </w:tr>
      <w:tr>
        <w:tc>
          <w:tcPr/>
          <w:p>
            <w:pPr>
              <w:pStyle w:val="Compact"/>
            </w:pPr>
            <w:r>
              <w:rPr>
                <w:b/>
                <w:bCs/>
              </w:rPr>
              <w:t xml:space="preserve">National/regional fund vehicles</w:t>
            </w:r>
          </w:p>
        </w:tc>
        <w:tc>
          <w:tcPr/>
          <w:p>
            <w:pPr>
              <w:pStyle w:val="Compact"/>
            </w:pPr>
            <w:r>
              <w:t xml:space="preserve">Currency, regulatory, tax, development-bank and sovereign-risk adaptation</w:t>
            </w:r>
          </w:p>
        </w:tc>
      </w:tr>
      <w:tr>
        <w:tc>
          <w:tcPr/>
          <w:p>
            <w:pPr>
              <w:pStyle w:val="Compact"/>
            </w:pPr>
            <w:r>
              <w:rPr>
                <w:b/>
                <w:bCs/>
              </w:rPr>
              <w:t xml:space="preserve">Local GAJRA associations/co-ops/public SPVs</w:t>
            </w:r>
          </w:p>
        </w:tc>
        <w:tc>
          <w:tcPr/>
          <w:p>
            <w:pPr>
              <w:pStyle w:val="Compact"/>
            </w:pPr>
            <w:r>
              <w:t xml:space="preserve">Own or operate local assets, employ people, procure services and set permitted civic uses</w:t>
            </w:r>
          </w:p>
        </w:tc>
      </w:tr>
      <w:tr>
        <w:tc>
          <w:tcPr/>
          <w:p>
            <w:pPr>
              <w:pStyle w:val="Compact"/>
            </w:pPr>
            <w:r>
              <w:rPr>
                <w:b/>
                <w:bCs/>
              </w:rPr>
              <w:t xml:space="preserve">Native Nation/Indigenous governance bodies</w:t>
            </w:r>
          </w:p>
        </w:tc>
        <w:tc>
          <w:tcPr/>
          <w:p>
            <w:pPr>
              <w:pStyle w:val="Compact"/>
            </w:pPr>
            <w:r>
              <w:t xml:space="preserve">Independent authority over their own data, cultural protocols and Nation-governed services</w:t>
            </w:r>
          </w:p>
        </w:tc>
      </w:tr>
      <w:tr>
        <w:tc>
          <w:tcPr/>
          <w:p>
            <w:pPr>
              <w:pStyle w:val="Compact"/>
            </w:pPr>
            <w:r>
              <w:rPr>
                <w:b/>
                <w:bCs/>
              </w:rPr>
              <w:t xml:space="preserve">Independent Assurance Council</w:t>
            </w:r>
          </w:p>
        </w:tc>
        <w:tc>
          <w:tcPr/>
          <w:p>
            <w:pPr>
              <w:pStyle w:val="Compact"/>
            </w:pPr>
            <w:r>
              <w:t xml:space="preserve">Cybersecurity, human rights, environmental, AI-safety and financial assurance</w:t>
            </w:r>
          </w:p>
        </w:tc>
      </w:tr>
      <w:tr>
        <w:tc>
          <w:tcPr/>
          <w:p>
            <w:pPr>
              <w:pStyle w:val="Compact"/>
            </w:pPr>
            <w:r>
              <w:rPr>
                <w:b/>
                <w:bCs/>
              </w:rPr>
              <w:t xml:space="preserve">Ombuds and appeals network</w:t>
            </w:r>
          </w:p>
        </w:tc>
        <w:tc>
          <w:tcPr/>
          <w:p>
            <w:pPr>
              <w:pStyle w:val="Compact"/>
            </w:pPr>
            <w:r>
              <w:t xml:space="preserve">Human remedies for data, C-Hour, access and algorithmic decisions</w:t>
            </w:r>
          </w:p>
        </w:tc>
      </w:tr>
    </w:tbl>
    <w:p>
      <w:pPr>
        <w:pStyle w:val="BodyText"/>
      </w:pPr>
      <w:r>
        <w:t xml:space="preserve">GAJRA's global constitutional power should be deliberately narrow. It should certify interoperability, fiduciary standards and a minimum rights/safety floor. It should</w:t>
      </w:r>
      <w:r>
        <w:t xml:space="preserve"> </w:t>
      </w:r>
      <w:r>
        <w:rPr>
          <w:b/>
          <w:bCs/>
        </w:rPr>
        <w:t xml:space="preserve">not dictate local moral or cultural uniformity</w:t>
      </w:r>
      <w:r>
        <w:t xml:space="preserve">.</w:t>
      </w:r>
    </w:p>
    <w:p>
      <w:pPr>
        <w:pStyle w:val="BodyText"/>
      </w:pPr>
      <w:r>
        <w:t xml:space="preserve">UNESCO's AI ethics framework is a sensible international floor because it combines human dignity, peaceful and interconnected societies, diversity and inclusion, environmental flourishing, transparency, accountability and human oversight while recognising national sovereignty.</w:t>
      </w:r>
      <w:r>
        <w:t xml:space="preserve"> </w:t>
      </w:r>
      <w:hyperlink r:id="rId39">
        <w:r>
          <w:rPr>
            <w:rStyle w:val="Hyperlink"/>
          </w:rPr>
          <w:t xml:space="preserve">[22]</w:t>
        </w:r>
      </w:hyperlink>
      <w:r>
        <w:t xml:space="preserve"> </w:t>
      </w:r>
      <w:r>
        <w:t xml:space="preserve">The UN Global Digital Compact similarly calls for</w:t>
      </w:r>
      <w:r>
        <w:t xml:space="preserve"> </w:t>
      </w:r>
      <w:r>
        <w:rPr>
          <w:i/>
          <w:iCs/>
        </w:rPr>
        <w:t xml:space="preserve">interoperable national</w:t>
      </w:r>
      <w:r>
        <w:t xml:space="preserve"> </w:t>
      </w:r>
      <w:r>
        <w:t xml:space="preserve">governance rather than one global central database.</w:t>
      </w:r>
      <w:r>
        <w:t xml:space="preserve"> </w:t>
      </w:r>
      <w:hyperlink r:id="rId30">
        <w:r>
          <w:rPr>
            <w:rStyle w:val="Hyperlink"/>
          </w:rPr>
          <w:t xml:space="preserve">[19]</w:t>
        </w:r>
      </w:hyperlink>
    </w:p>
    <w:p>
      <w:pPr>
        <w:pStyle w:val="BodyText"/>
      </w:pPr>
      <w:r>
        <w:t xml:space="preserve">For contentious governance decisions, I would use</w:t>
      </w:r>
      <w:r>
        <w:t xml:space="preserve"> </w:t>
      </w:r>
      <w:r>
        <w:rPr>
          <w:b/>
          <w:bCs/>
        </w:rPr>
        <w:t xml:space="preserve">subsidiarity with protected pluralism</w:t>
      </w:r>
      <w:r>
        <w:t xml:space="preserve"> </w:t>
      </w:r>
      <w:r>
        <w:t xml:space="preserve">rather than simplistic token-weighted voting. Local civic questions are decided locally; cross-border protocol questions require broader consensus. Minority, Indigenous, privacy and fundamental-rights constraints cannot be voted away merely because 51% of token holders click “yes”.</w:t>
      </w:r>
    </w:p>
    <w:p>
      <w:pPr>
        <w:pStyle w:val="BodyText"/>
      </w:pPr>
      <w:r>
        <w:t xml:space="preserve">Any future 2035 global values exercise should therefore be a</w:t>
      </w:r>
      <w:r>
        <w:t xml:space="preserve"> </w:t>
      </w:r>
      <w:r>
        <w:rPr>
          <w:b/>
          <w:bCs/>
        </w:rPr>
        <w:t xml:space="preserve">deliberative measurement project</w:t>
      </w:r>
      <w:r>
        <w:t xml:space="preserve">, not a planetary referendum claiming jurisdiction over humanity. People can identify values they associate with past, present and future; AI can help map similarities, disagreements, reasoning and cultural context; the result can illuminate humanity to itself without imposing the majority's moral preferences on the minority.</w:t>
      </w:r>
    </w:p>
    <w:p>
      <w:pPr>
        <w:pStyle w:val="BodyText"/>
      </w:pPr>
      <w:r>
        <w:t xml:space="preserve">That is both more democratic and considerably more interesting.</w:t>
      </w:r>
    </w:p>
    <w:bookmarkEnd w:id="40"/>
    <w:bookmarkEnd w:id="41"/>
    <w:bookmarkStart w:id="45" w:name="the-braided-economy-and-community-hour"/>
    <w:p>
      <w:pPr>
        <w:pStyle w:val="Heading2"/>
      </w:pPr>
      <w:r>
        <w:t xml:space="preserve">The braided economy and Community Hour</w:t>
      </w:r>
    </w:p>
    <w:p>
      <w:pPr>
        <w:pStyle w:val="FirstParagraph"/>
      </w:pPr>
      <w:r>
        <w:t xml:space="preserve">The Community Hour is potentially the most original economic component of the proposal, but only if its radical equality is kept completely separate from speculative tokenomics.</w:t>
      </w:r>
    </w:p>
    <w:p>
      <w:pPr>
        <w:pStyle w:val="BodyText"/>
      </w:pPr>
      <w:r>
        <w:t xml:space="preserve">The current Community Ledger describes the emerging concept well: crypto is unnecessary for ordinary services; public participation is optional; the deeper Aura file is private; and the future C-Hour is intended to recognise verified contribution across activities such as volunteering, mentoring, disaster recovery, elder support, ecological repair and training.</w:t>
      </w:r>
      <w:r>
        <w:t xml:space="preserve"> </w:t>
      </w:r>
      <w:hyperlink r:id="rId21">
        <w:r>
          <w:rPr>
            <w:rStyle w:val="Hyperlink"/>
          </w:rPr>
          <w:t xml:space="preserve">[11]</w:t>
        </w:r>
      </w:hyperlink>
      <w:r>
        <w:t xml:space="preserve"> </w:t>
      </w:r>
      <w:r>
        <w:t xml:space="preserve">The Local Government and legislative uploads consistently define the underlying principle as</w:t>
      </w:r>
      <w:r>
        <w:t xml:space="preserve"> </w:t>
      </w:r>
      <w:r>
        <w:rPr>
          <w:b/>
          <w:bCs/>
        </w:rPr>
        <w:t xml:space="preserve">one verified hour = one C-Hour</w:t>
      </w:r>
      <w:r>
        <w:t xml:space="preserve">, whether that hour involves mentoring, community care, environmental restoration or software work. fileciteturn0file10 fileciteturn0file9 fileciteturn0file8</w:t>
      </w:r>
    </w:p>
    <w:p>
      <w:pPr>
        <w:pStyle w:val="BodyText"/>
      </w:pPr>
      <w:r>
        <w:t xml:space="preserve">I would tighten this into the following constitutional definition:</w:t>
      </w:r>
    </w:p>
    <w:p>
      <w:pPr>
        <w:pStyle w:val="BlockText"/>
      </w:pPr>
      <w:r>
        <w:rPr>
          <w:b/>
          <w:bCs/>
        </w:rPr>
        <w:t xml:space="preserve">A Community Hour is a non-purchasable, non-interest-bearing, non-speculative, normally non-transferable verifiable credential recording sixty minutes of eligible, voluntarily contributed human time to an approved commons activity.</w:t>
      </w:r>
    </w:p>
    <w:p>
      <w:pPr>
        <w:pStyle w:val="FirstParagraph"/>
      </w:pPr>
      <w:r>
        <w:t xml:space="preserve">This changes the discussion from</w:t>
      </w:r>
      <w:r>
        <w:t xml:space="preserve"> </w:t>
      </w:r>
      <w:r>
        <w:rPr>
          <w:b/>
          <w:bCs/>
        </w:rPr>
        <w:t xml:space="preserve">tokenomics</w:t>
      </w:r>
      <w:r>
        <w:t xml:space="preserve"> </w:t>
      </w:r>
      <w:r>
        <w:t xml:space="preserve">to</w:t>
      </w:r>
      <w:r>
        <w:t xml:space="preserve"> </w:t>
      </w:r>
      <w:r>
        <w:rPr>
          <w:b/>
          <w:bCs/>
        </w:rPr>
        <w:t xml:space="preserve">accounting integrity</w:t>
      </w:r>
      <w:r>
        <w:t xml:space="preserve">.</w:t>
      </w:r>
    </w:p>
    <w:bookmarkStart w:id="42" w:name="X11622c24fe802e96ed09d72c78e7195469430f8"/>
    <w:p>
      <w:pPr>
        <w:pStyle w:val="Heading3"/>
      </w:pPr>
      <w:r>
        <w:t xml:space="preserve">Radical equality without pretending all work is identical</w:t>
      </w:r>
    </w:p>
    <w:p>
      <w:pPr>
        <w:pStyle w:val="FirstParagraph"/>
      </w:pPr>
      <w:r>
        <w:t xml:space="preserve">One hour should always equal one hour</w:t>
      </w:r>
      <w:r>
        <w:t xml:space="preserve"> </w:t>
      </w:r>
      <w:r>
        <w:rPr>
          <w:b/>
          <w:bCs/>
        </w:rPr>
        <w:t xml:space="preserve">as recognition of human time</w:t>
      </w:r>
      <w:r>
        <w:t xml:space="preserve">.</w:t>
      </w:r>
    </w:p>
    <w:p>
      <w:pPr>
        <w:pStyle w:val="BodyText"/>
      </w:pPr>
      <w:r>
        <w:t xml:space="preserve">That does</w:t>
      </w:r>
      <w:r>
        <w:t xml:space="preserve"> </w:t>
      </w:r>
      <w:r>
        <w:rPr>
          <w:i/>
          <w:iCs/>
        </w:rPr>
        <w:t xml:space="preserve">not</w:t>
      </w:r>
      <w:r>
        <w:t xml:space="preserve"> </w:t>
      </w:r>
      <w:r>
        <w:t xml:space="preserve">mean every person is qualified to perform every task.</w:t>
      </w:r>
    </w:p>
    <w:p>
      <w:pPr>
        <w:pStyle w:val="BodyText"/>
      </w:pPr>
      <w:r>
        <w:t xml:space="preserve">A surgeon's clinical qualification, an electrician's licence, a cultural custodian's authority and a teenager's mentoring participation are separate credentials. The C-Hour says nothing more than: this human gave sixty verified minutes of eligible contribution.</w:t>
      </w:r>
    </w:p>
    <w:p>
      <w:pPr>
        <w:pStyle w:val="BodyText"/>
      </w:pPr>
      <w:r>
        <w:t xml:space="preserve">The ledger can therefore carry two orthogonal dimensions:</w:t>
      </w:r>
    </w:p>
    <w:p>
      <w:pPr>
        <w:pStyle w:val="BodyText"/>
      </w:pPr>
      <w:r>
        <w:rPr>
          <w:b/>
          <w:bCs/>
        </w:rPr>
        <w:t xml:space="preserve">Equality:</w:t>
      </w:r>
      <w:r>
        <w:t xml:space="preserve"> </w:t>
      </w:r>
      <w:r>
        <w:t xml:space="preserve">1 hour = 1 C-Hour.</w:t>
      </w:r>
    </w:p>
    <w:p>
      <w:pPr>
        <w:pStyle w:val="BodyText"/>
      </w:pPr>
      <w:r>
        <w:rPr>
          <w:b/>
          <w:bCs/>
        </w:rPr>
        <w:t xml:space="preserve">Difference:</w:t>
      </w:r>
      <w:r>
        <w:t xml:space="preserve"> </w:t>
      </w:r>
      <w:r>
        <w:t xml:space="preserve">category, location, competency, project, ecological/social purpose, beneficiary, evidence, authority and outcomes remain attached as contextual metadata.</w:t>
      </w:r>
    </w:p>
    <w:p>
      <w:pPr>
        <w:pStyle w:val="BodyText"/>
      </w:pPr>
      <w:r>
        <w:t xml:space="preserve">That is arguably the braided economy's cleanest expression of “differences and similarities in equal measure”.</w:t>
      </w:r>
    </w:p>
    <w:bookmarkEnd w:id="42"/>
    <w:bookmarkStart w:id="43" w:name="what-a-c-hour-must-never-become"/>
    <w:p>
      <w:pPr>
        <w:pStyle w:val="Heading3"/>
      </w:pPr>
      <w:r>
        <w:t xml:space="preserve">What a C-Hour must never become</w:t>
      </w:r>
    </w:p>
    <w:p>
      <w:pPr>
        <w:pStyle w:val="FirstParagraph"/>
      </w:pPr>
      <w:r>
        <w:t xml:space="preserve">For the concept to remain coherent, the global protocol should prohibit the following at constitutional level: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Prohibited feature</w:t>
            </w:r>
          </w:p>
        </w:tc>
        <w:tc>
          <w:tcPr/>
          <w:p>
            <w:pPr>
              <w:pStyle w:val="Compact"/>
            </w:pPr>
            <w:r>
              <w:t xml:space="preserve">Reason</w:t>
            </w:r>
          </w:p>
        </w:tc>
      </w:tr>
      <w:tr>
        <w:tc>
          <w:tcPr/>
          <w:p>
            <w:pPr>
              <w:pStyle w:val="Compact"/>
            </w:pPr>
            <w:r>
              <w:t xml:space="preserve">Buying C-Hours with fiat or crypto</w:t>
            </w:r>
          </w:p>
        </w:tc>
        <w:tc>
          <w:tcPr/>
          <w:p>
            <w:pPr>
              <w:pStyle w:val="Compact"/>
            </w:pPr>
            <w:r>
              <w:t xml:space="preserve">Breaks the connection to actual contribution</w:t>
            </w:r>
          </w:p>
        </w:tc>
      </w:tr>
      <w:tr>
        <w:tc>
          <w:tcPr/>
          <w:p>
            <w:pPr>
              <w:pStyle w:val="Compact"/>
            </w:pPr>
            <w:r>
              <w:t xml:space="preserve">Secondary-market trading</w:t>
            </w:r>
          </w:p>
        </w:tc>
        <w:tc>
          <w:tcPr/>
          <w:p>
            <w:pPr>
              <w:pStyle w:val="Compact"/>
            </w:pPr>
            <w:r>
              <w:t xml:space="preserve">Creates speculation</w:t>
            </w:r>
          </w:p>
        </w:tc>
      </w:tr>
      <w:tr>
        <w:tc>
          <w:tcPr/>
          <w:p>
            <w:pPr>
              <w:pStyle w:val="Compact"/>
            </w:pPr>
            <w:r>
              <w:t xml:space="preserve">Floating exchange price</w:t>
            </w:r>
          </w:p>
        </w:tc>
        <w:tc>
          <w:tcPr/>
          <w:p>
            <w:pPr>
              <w:pStyle w:val="Compact"/>
            </w:pPr>
            <w:r>
              <w:t xml:space="preserve">Converts equality-of-time into wealth arbitrage</w:t>
            </w:r>
          </w:p>
        </w:tc>
      </w:tr>
      <w:tr>
        <w:tc>
          <w:tcPr/>
          <w:p>
            <w:pPr>
              <w:pStyle w:val="Compact"/>
            </w:pPr>
            <w:r>
              <w:t xml:space="preserve">Guaranteed fiat redemption</w:t>
            </w:r>
          </w:p>
        </w:tc>
        <w:tc>
          <w:tcPr/>
          <w:p>
            <w:pPr>
              <w:pStyle w:val="Compact"/>
            </w:pPr>
            <w:r>
              <w:t xml:space="preserve">Risks turning it into a monetary/payment instrument or wage proxy</w:t>
            </w:r>
          </w:p>
        </w:tc>
      </w:tr>
      <w:tr>
        <w:tc>
          <w:tcPr/>
          <w:p>
            <w:pPr>
              <w:pStyle w:val="Compact"/>
            </w:pPr>
            <w:r>
              <w:t xml:space="preserve">Interest, staking or yield</w:t>
            </w:r>
          </w:p>
        </w:tc>
        <w:tc>
          <w:tcPr/>
          <w:p>
            <w:pPr>
              <w:pStyle w:val="Compact"/>
            </w:pPr>
            <w:r>
              <w:t xml:space="preserve">Creates financial-product characteristics</w:t>
            </w:r>
          </w:p>
        </w:tc>
      </w:tr>
      <w:tr>
        <w:tc>
          <w:tcPr/>
          <w:p>
            <w:pPr>
              <w:pStyle w:val="Compact"/>
            </w:pPr>
            <w:r>
              <w:t xml:space="preserve">Using C-Hours as collateral</w:t>
            </w:r>
          </w:p>
        </w:tc>
        <w:tc>
          <w:tcPr/>
          <w:p>
            <w:pPr>
              <w:pStyle w:val="Compact"/>
            </w:pPr>
            <w:r>
              <w:t xml:space="preserve">Imports leverage and financial instability</w:t>
            </w:r>
          </w:p>
        </w:tc>
      </w:tr>
      <w:tr>
        <w:tc>
          <w:tcPr/>
          <w:p>
            <w:pPr>
              <w:pStyle w:val="Compact"/>
            </w:pPr>
            <w:r>
              <w:t xml:space="preserve">Paying employees in C-Hours instead of lawful wages</w:t>
            </w:r>
          </w:p>
        </w:tc>
        <w:tc>
          <w:tcPr/>
          <w:p>
            <w:pPr>
              <w:pStyle w:val="Compact"/>
            </w:pPr>
            <w:r>
              <w:t xml:space="preserve">Turns reciprocity into labour exploitation</w:t>
            </w:r>
          </w:p>
        </w:tc>
      </w:tr>
      <w:tr>
        <w:tc>
          <w:tcPr/>
          <w:p>
            <w:pPr>
              <w:pStyle w:val="Compact"/>
            </w:pPr>
            <w:r>
              <w:t xml:space="preserve">Mandatory participation</w:t>
            </w:r>
          </w:p>
        </w:tc>
        <w:tc>
          <w:tcPr/>
          <w:p>
            <w:pPr>
              <w:pStyle w:val="Compact"/>
            </w:pPr>
            <w:r>
              <w:t xml:space="preserve">Destroys voluntariness</w:t>
            </w:r>
          </w:p>
        </w:tc>
      </w:tr>
      <w:tr>
        <w:tc>
          <w:tcPr/>
          <w:p>
            <w:pPr>
              <w:pStyle w:val="Compact"/>
            </w:pPr>
            <w:r>
              <w:t xml:space="preserve">Publicly revealing sensitive care/activity histories by default</w:t>
            </w:r>
          </w:p>
        </w:tc>
        <w:tc>
          <w:tcPr/>
          <w:p>
            <w:pPr>
              <w:pStyle w:val="Compact"/>
            </w:pPr>
            <w:r>
              <w:t xml:space="preserve">Creates surveillance and dignity harms</w:t>
            </w:r>
          </w:p>
        </w:tc>
      </w:tr>
    </w:tbl>
    <w:p>
      <w:pPr>
        <w:pStyle w:val="BodyText"/>
      </w:pPr>
      <w:r>
        <w:t xml:space="preserve">The last two points are vital. Australia already records substantial gender inequality in unpaid work.</w:t>
      </w:r>
      <w:r>
        <w:t xml:space="preserve"> </w:t>
      </w:r>
      <w:hyperlink r:id="rId18">
        <w:r>
          <w:rPr>
            <w:rStyle w:val="Hyperlink"/>
          </w:rPr>
          <w:t xml:space="preserve">[23]</w:t>
        </w:r>
      </w:hyperlink>
      <w:r>
        <w:t xml:space="preserve"> </w:t>
      </w:r>
      <w:r>
        <w:t xml:space="preserve">A system designed to recognise care could perversely entrench that inequality if governments or employers begin saying, “Wonderful—you can do the work for C-Hours instead.”</w:t>
      </w:r>
      <w:r>
        <w:t xml:space="preserve"> </w:t>
      </w:r>
      <w:r>
        <w:rPr>
          <w:b/>
          <w:bCs/>
        </w:rPr>
        <w:t xml:space="preserve">C-Hours must never be a mechanism for making currently paid work unpaid, or for avoiding statutory public services.</w:t>
      </w:r>
    </w:p>
    <w:p>
      <w:pPr>
        <w:pStyle w:val="BodyText"/>
      </w:pPr>
      <w:r>
        <w:t xml:space="preserve">Eligibility should therefore exclude work performed under an employment relationship, contract or legal duty where wages should apply. Local legislation will determine the exact line.</w:t>
      </w:r>
    </w:p>
    <w:bookmarkEnd w:id="43"/>
    <w:bookmarkStart w:id="44" w:name="how-the-braid-with-money-actually-works"/>
    <w:p>
      <w:pPr>
        <w:pStyle w:val="Heading3"/>
      </w:pPr>
      <w:r>
        <w:t xml:space="preserve">How the braid with money actually works</w:t>
      </w:r>
    </w:p>
    <w:p>
      <w:pPr>
        <w:pStyle w:val="FirstParagraph"/>
      </w:pPr>
      <w:r>
        <w:t xml:space="preserve">The C-Hour itself need not be money to influence the market economy.</w:t>
      </w:r>
    </w:p>
    <w:p>
      <w:pPr>
        <w:pStyle w:val="BodyText"/>
      </w:pPr>
      <w:r>
        <w:t xml:space="preserve">The missing mechanism is a</w:t>
      </w:r>
      <w:r>
        <w:t xml:space="preserve"> </w:t>
      </w:r>
      <w:r>
        <w:rPr>
          <w:b/>
          <w:bCs/>
        </w:rPr>
        <w:t xml:space="preserve">Commons Matching Pool</w:t>
      </w:r>
      <w:r>
        <w:t xml:space="preserve">.</w:t>
      </w:r>
    </w:p>
    <w:p>
      <w:pPr>
        <w:pStyle w:val="BodyText"/>
      </w:pPr>
      <w:r>
        <w:t xml:space="preserve">Suppose a community records 20,000 verified C-Hours across elder companionship, restoring dunes, tutoring students, disaster preparation and open-source civic software. Governments, foundations and businesses may decide that this evidence justifies allocating fiat capital to those programmes.</w:t>
      </w:r>
    </w:p>
    <w:p>
      <w:pPr>
        <w:pStyle w:val="BodyText"/>
      </w:pPr>
      <w:r>
        <w:t xml:space="preserve">They might fund:</w:t>
      </w:r>
    </w:p>
    <w:p>
      <w:pPr>
        <w:pStyle w:val="Compact"/>
        <w:numPr>
          <w:ilvl w:val="0"/>
          <w:numId w:val="1002"/>
        </w:numPr>
      </w:pPr>
      <w:r>
        <w:t xml:space="preserve">equipment for the Landcare project;</w:t>
      </w:r>
    </w:p>
    <w:p>
      <w:pPr>
        <w:pStyle w:val="Compact"/>
        <w:numPr>
          <w:ilvl w:val="0"/>
          <w:numId w:val="1002"/>
        </w:numPr>
      </w:pPr>
      <w:r>
        <w:t xml:space="preserve">additional professional aged-care support;</w:t>
      </w:r>
    </w:p>
    <w:p>
      <w:pPr>
        <w:pStyle w:val="Compact"/>
        <w:numPr>
          <w:ilvl w:val="0"/>
          <w:numId w:val="1002"/>
        </w:numPr>
      </w:pPr>
      <w:r>
        <w:t xml:space="preserve">scholarships for active community mentors;</w:t>
      </w:r>
    </w:p>
    <w:p>
      <w:pPr>
        <w:pStyle w:val="Compact"/>
        <w:numPr>
          <w:ilvl w:val="0"/>
          <w:numId w:val="1002"/>
        </w:numPr>
      </w:pPr>
      <w:r>
        <w:t xml:space="preserve">free or subsidised Civic Compute Hub access;</w:t>
      </w:r>
    </w:p>
    <w:p>
      <w:pPr>
        <w:pStyle w:val="Compact"/>
        <w:numPr>
          <w:ilvl w:val="0"/>
          <w:numId w:val="1002"/>
        </w:numPr>
      </w:pPr>
      <w:r>
        <w:t xml:space="preserve">public-transport passes;</w:t>
      </w:r>
    </w:p>
    <w:p>
      <w:pPr>
        <w:pStyle w:val="Compact"/>
        <w:numPr>
          <w:ilvl w:val="0"/>
          <w:numId w:val="1002"/>
        </w:numPr>
      </w:pPr>
      <w:r>
        <w:t xml:space="preserve">community-facility access;</w:t>
      </w:r>
    </w:p>
    <w:p>
      <w:pPr>
        <w:pStyle w:val="Compact"/>
        <w:numPr>
          <w:ilvl w:val="0"/>
          <w:numId w:val="1002"/>
        </w:numPr>
      </w:pPr>
      <w:r>
        <w:t xml:space="preserve">training places;</w:t>
      </w:r>
    </w:p>
    <w:p>
      <w:pPr>
        <w:pStyle w:val="Compact"/>
        <w:numPr>
          <w:ilvl w:val="0"/>
          <w:numId w:val="1002"/>
        </w:numPr>
      </w:pPr>
      <w:r>
        <w:t xml:space="preserve">grants to organisations around which verified participation is forming.</w:t>
      </w:r>
    </w:p>
    <w:p>
      <w:pPr>
        <w:pStyle w:val="FirstParagraph"/>
      </w:pPr>
      <w:r>
        <w:t xml:space="preserve">Crucially, a sponsor is not buying the C-Hour from the person at A$X/hour.</w:t>
      </w:r>
      <w:r>
        <w:t xml:space="preserve"> </w:t>
      </w:r>
      <w:r>
        <w:rPr>
          <w:b/>
          <w:bCs/>
        </w:rPr>
        <w:t xml:space="preserve">The C-Hour is evidence that helps allocate a separate pool of market currency.</w:t>
      </w:r>
    </w:p>
    <w:p>
      <w:pPr>
        <w:pStyle w:val="BodyText"/>
      </w:pPr>
      <w:r>
        <w:t xml:space="preserve">That produces the braid:</w:t>
      </w:r>
    </w:p>
    <w:p>
      <w:pPr>
        <w:pStyle w:val="BodyText"/>
      </w:pPr>
      <w:r>
        <w:rPr>
          <w:b/>
          <w:bCs/>
        </w:rPr>
        <w:t xml:space="preserve">Market Economy:</w:t>
      </w:r>
      <w:r>
        <w:t xml:space="preserve"> </w:t>
      </w:r>
      <w:r>
        <w:t xml:space="preserve">prices scarce goods, professional labour, energy, hardware, construction and commercial services in ordinary currency.</w:t>
      </w:r>
    </w:p>
    <w:p>
      <w:pPr>
        <w:pStyle w:val="BodyText"/>
      </w:pPr>
      <w:r>
        <w:rPr>
          <w:b/>
          <w:bCs/>
        </w:rPr>
        <w:t xml:space="preserve">Reciprocity Economy:</w:t>
      </w:r>
      <w:r>
        <w:t xml:space="preserve"> </w:t>
      </w:r>
      <w:r>
        <w:t xml:space="preserve">records otherwise invisible contribution in equal human-time units.</w:t>
      </w:r>
    </w:p>
    <w:p>
      <w:pPr>
        <w:pStyle w:val="BodyText"/>
      </w:pPr>
      <w:r>
        <w:rPr>
          <w:b/>
          <w:bCs/>
        </w:rPr>
        <w:t xml:space="preserve">Commons Matching Layer:</w:t>
      </w:r>
      <w:r>
        <w:t xml:space="preserve"> </w:t>
      </w:r>
      <w:r>
        <w:t xml:space="preserve">uses transparent policy to direct some ordinary money and public capacity toward communities demonstrating valuable contribution.</w:t>
      </w:r>
    </w:p>
    <w:p>
      <w:pPr>
        <w:pStyle w:val="BodyText"/>
      </w:pPr>
      <w:r>
        <w:t xml:space="preserve">The economic systems remain distinct but information flows between them.</w:t>
      </w:r>
    </w:p>
    <w:p>
      <w:pPr>
        <w:pStyle w:val="BodyText"/>
      </w:pPr>
      <w:r>
        <w:t xml:space="preserve">The Civic Compute Hubs make this far more capable than traditional time banking. Local AI can help match people to opportunities, identify required safety credentials, translate across languages, verify evidence, detect duplicate or anomalous claims, generate impact reports, maintain local digital twins and show communities what their combined hours are accomplishing. That is a sensible use of powerful AI:</w:t>
      </w:r>
      <w:r>
        <w:t xml:space="preserve"> </w:t>
      </w:r>
      <w:r>
        <w:rPr>
          <w:b/>
          <w:bCs/>
        </w:rPr>
        <w:t xml:space="preserve">not replacing the act of caring, but making care legible to institutions that currently struggle to see it.</w:t>
      </w:r>
    </w:p>
    <w:p>
      <w:pPr>
        <w:pStyle w:val="BodyText"/>
      </w:pPr>
      <w:r>
        <w:t xml:space="preserve">C-Hours themselves could be implemented using privacy-preserving W3C Verifiable Credentials: an accredited community organisation becomes issuer, the participant remains holder, and a fund or service can verify the credential without requiring one enormous public blockchain containing everybody's volunteering history. W3C VC 2.0 explicitly supports machine-verifiable credentials and privacy-respecting disclosure patterns.</w:t>
      </w:r>
      <w:r>
        <w:t xml:space="preserve"> </w:t>
      </w:r>
      <w:hyperlink r:id="rId35">
        <w:r>
          <w:rPr>
            <w:rStyle w:val="Hyperlink"/>
          </w:rPr>
          <w:t xml:space="preserve">[24]</w:t>
        </w:r>
      </w:hyperlink>
      <w:r>
        <w:t xml:space="preserve"> </w:t>
      </w:r>
      <w:r>
        <w:t xml:space="preserve">A public ledger can contain aggregate statistics or cryptographic commitments while personally sensitive records remain with the holder.</w:t>
      </w:r>
    </w:p>
    <w:p>
      <w:pPr>
        <w:pStyle w:val="BodyText"/>
      </w:pPr>
      <w:r>
        <w:t xml:space="preserve">That is preferable to “mint everything on-chain”.</w:t>
      </w:r>
    </w:p>
    <w:p>
      <w:pPr>
        <w:pStyle w:val="BodyText"/>
      </w:pPr>
      <w:r>
        <w:t xml:space="preserve">The international legislative research in the uploads should then become a</w:t>
      </w:r>
      <w:r>
        <w:t xml:space="preserve"> </w:t>
      </w:r>
      <w:r>
        <w:rPr>
          <w:b/>
          <w:bCs/>
        </w:rPr>
        <w:t xml:space="preserve">Regenerative Contribution Law Lab</w:t>
      </w:r>
      <w:r>
        <w:t xml:space="preserve">: instead of lobbying every country for one identical statutory carve-out from day one, GAJRA creates a standard legal definition, funds independent counsel in each pilot jurisdiction and publishes compatibility matrices covering financial-products law, tax, volunteering, employment, social-security interactions, AML/CFT, consumer law and privacy. fileciteturn0file7 fileciteturn0file8 fileciteturn0file9</w:t>
      </w:r>
    </w:p>
    <w:p>
      <w:pPr>
        <w:pStyle w:val="BodyText"/>
      </w:pPr>
      <w:r>
        <w:t xml:space="preserve">The C-Hour's strategic advantage is precisely that</w:t>
      </w:r>
      <w:r>
        <w:t xml:space="preserve"> </w:t>
      </w:r>
      <w:r>
        <w:rPr>
          <w:b/>
          <w:bCs/>
        </w:rPr>
        <w:t xml:space="preserve">it can remain valuable even where the law does not permit it to be a transferable digital asset</w:t>
      </w:r>
      <w:r>
        <w:t xml:space="preserve">. A signed civic-contribution credential still works.</w:t>
      </w:r>
    </w:p>
    <w:bookmarkEnd w:id="44"/>
    <w:bookmarkEnd w:id="45"/>
    <w:bookmarkStart w:id="51" w:name="roadmap-risks-and-the-peace-case"/>
    <w:p>
      <w:pPr>
        <w:pStyle w:val="Heading2"/>
      </w:pPr>
      <w:r>
        <w:t xml:space="preserve">Roadmap, risks and the peace case</w:t>
      </w:r>
    </w:p>
    <w:p>
      <w:pPr>
        <w:pStyle w:val="FirstParagraph"/>
      </w:pPr>
      <w:r>
        <w:t xml:space="preserve">The right implementation horizon is</w:t>
      </w:r>
      <w:r>
        <w:t xml:space="preserve"> </w:t>
      </w:r>
      <w:r>
        <w:rPr>
          <w:b/>
          <w:bCs/>
        </w:rPr>
        <w:t xml:space="preserve">2026–2035</w:t>
      </w:r>
      <w:r>
        <w:t xml:space="preserve">, which fits the development rhythm already running through the uploads and gives the 50th anniversary of Live Aid in July 2035 a useful public mobilisation milestone without making an arts event responsible for the infrastructure's financial viability. fileciteturn0file6</w:t>
      </w:r>
    </w:p>
    <w:bookmarkStart w:id="46" w:name="X8726a4d102386b8ac817dce1107fd9742cc2596"/>
    <w:p>
      <w:pPr>
        <w:pStyle w:val="Heading3"/>
      </w:pPr>
      <w:r>
        <w:t xml:space="preserve">From one community to a planetary commons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Period</w:t>
            </w:r>
          </w:p>
        </w:tc>
        <w:tc>
          <w:tcPr/>
          <w:p>
            <w:pPr>
              <w:pStyle w:val="Compact"/>
              <w:jc w:val="right"/>
            </w:pPr>
            <w:r>
              <w:t xml:space="preserve">Physical deployment</w:t>
            </w:r>
          </w:p>
        </w:tc>
        <w:tc>
          <w:tcPr/>
          <w:p>
            <w:pPr>
              <w:pStyle w:val="Compact"/>
            </w:pPr>
            <w:r>
              <w:t xml:space="preserve">Primary objective</w:t>
            </w:r>
          </w:p>
        </w:tc>
      </w:tr>
      <w:tr>
        <w:tc>
          <w:tcPr/>
          <w:p>
            <w:pPr>
              <w:pStyle w:val="Compact"/>
            </w:pPr>
            <w:r>
              <w:rPr>
                <w:b/>
                <w:bCs/>
              </w:rPr>
              <w:t xml:space="preserve">2026–2027</w:t>
            </w:r>
          </w:p>
        </w:tc>
        <w:tc>
          <w:tcPr/>
          <w:p>
            <w:pPr>
              <w:pStyle w:val="Compact"/>
              <w:jc w:val="right"/>
            </w:pPr>
            <w:r>
              <w:t xml:space="preserve">1–10 nodes</w:t>
            </w:r>
          </w:p>
        </w:tc>
        <w:tc>
          <w:tcPr/>
          <w:p>
            <w:pPr>
              <w:pStyle w:val="Compact"/>
            </w:pPr>
            <w:r>
              <w:t xml:space="preserve">Prove Dunwich/Redlands and contrasting Australian locations; freeze open architecture, legal and measurement standards</w:t>
            </w:r>
          </w:p>
        </w:tc>
      </w:tr>
      <w:tr>
        <w:tc>
          <w:tcPr/>
          <w:p>
            <w:pPr>
              <w:pStyle w:val="Compact"/>
            </w:pPr>
            <w:r>
              <w:rPr>
                <w:b/>
                <w:bCs/>
              </w:rPr>
              <w:t xml:space="preserve">2027–2029</w:t>
            </w:r>
          </w:p>
        </w:tc>
        <w:tc>
          <w:tcPr/>
          <w:p>
            <w:pPr>
              <w:pStyle w:val="Compact"/>
              <w:jc w:val="right"/>
            </w:pPr>
            <w:r>
              <w:t xml:space="preserve">~100 nodes</w:t>
            </w:r>
          </w:p>
        </w:tc>
        <w:tc>
          <w:tcPr/>
          <w:p>
            <w:pPr>
              <w:pStyle w:val="Compact"/>
            </w:pPr>
            <w:r>
              <w:t xml:space="preserve">Include metropolitan, regional, remote, island and First Nations-governed deployments; begin international pilots</w:t>
            </w:r>
          </w:p>
        </w:tc>
      </w:tr>
      <w:tr>
        <w:tc>
          <w:tcPr/>
          <w:p>
            <w:pPr>
              <w:pStyle w:val="Compact"/>
            </w:pPr>
            <w:r>
              <w:rPr>
                <w:b/>
                <w:bCs/>
              </w:rPr>
              <w:t xml:space="preserve">2029–2032</w:t>
            </w:r>
          </w:p>
        </w:tc>
        <w:tc>
          <w:tcPr/>
          <w:p>
            <w:pPr>
              <w:pStyle w:val="Compact"/>
              <w:jc w:val="right"/>
            </w:pPr>
            <w:r>
              <w:t xml:space="preserve">~1,000–10,000 nodes</w:t>
            </w:r>
          </w:p>
        </w:tc>
        <w:tc>
          <w:tcPr/>
          <w:p>
            <w:pPr>
              <w:pStyle w:val="Compact"/>
            </w:pPr>
            <w:r>
              <w:t xml:space="preserve">Industrialise Civic Compute Port; Australia/Oceania demonstration around Brisbane 2032; prove multi-vendor federation</w:t>
            </w:r>
          </w:p>
        </w:tc>
      </w:tr>
      <w:tr>
        <w:tc>
          <w:tcPr/>
          <w:p>
            <w:pPr>
              <w:pStyle w:val="Compact"/>
            </w:pPr>
            <w:r>
              <w:rPr>
                <w:b/>
                <w:bCs/>
              </w:rPr>
              <w:t xml:space="preserve">2032–2035</w:t>
            </w:r>
          </w:p>
        </w:tc>
        <w:tc>
          <w:tcPr/>
          <w:p>
            <w:pPr>
              <w:pStyle w:val="Compact"/>
              <w:jc w:val="right"/>
            </w:pPr>
            <w:r>
              <w:t xml:space="preserve">ramp to ~44,000</w:t>
            </w:r>
          </w:p>
        </w:tc>
        <w:tc>
          <w:tcPr/>
          <w:p>
            <w:pPr>
              <w:pStyle w:val="Compact"/>
            </w:pPr>
            <w:r>
              <w:t xml:space="preserve">Global place-based deployment through national programmes, development banks, sister-city networks, universities and Native Nations</w:t>
            </w:r>
          </w:p>
        </w:tc>
      </w:tr>
      <w:tr>
        <w:tc>
          <w:tcPr/>
          <w:p>
            <w:pPr>
              <w:pStyle w:val="Compact"/>
            </w:pPr>
            <w:r>
              <w:rPr>
                <w:b/>
                <w:bCs/>
              </w:rPr>
              <w:t xml:space="preserve">July 2035</w:t>
            </w:r>
          </w:p>
        </w:tc>
        <w:tc>
          <w:tcPr/>
          <w:p>
            <w:pPr>
              <w:pStyle w:val="Compact"/>
              <w:jc w:val="right"/>
            </w:pPr>
            <w:r>
              <w:t xml:space="preserve">network-wide event</w:t>
            </w:r>
          </w:p>
        </w:tc>
        <w:tc>
          <w:tcPr/>
          <w:p>
            <w:pPr>
              <w:pStyle w:val="Compact"/>
            </w:pPr>
            <w:r>
              <w:t xml:space="preserve">Demonstrate interoperable art, science, civic learning and voluntary values dialogue across participating communities</w:t>
            </w:r>
          </w:p>
        </w:tc>
      </w:tr>
    </w:tbl>
    <w:p>
      <w:pPr>
        <w:pStyle w:val="BodyText"/>
      </w:pPr>
      <w:r>
        <w:t xml:space="preserve">The 2035 event can be the</w:t>
      </w:r>
      <w:r>
        <w:t xml:space="preserve"> </w:t>
      </w:r>
      <w:r>
        <w:rPr>
          <w:b/>
          <w:bCs/>
        </w:rPr>
        <w:t xml:space="preserve">human interface to the infrastructure</w:t>
      </w:r>
      <w:r>
        <w:t xml:space="preserve">. Instead of 44,000 machines silently running in locked rooms, participating communities can use them for simultaneous local art and music, environmental digital twins, multilingual dialogue, citizen science, community-history preservation, global simulations and structured conversations about past, present and future values.</w:t>
      </w:r>
    </w:p>
    <w:p>
      <w:pPr>
        <w:pStyle w:val="BodyText"/>
      </w:pPr>
      <w:r>
        <w:t xml:space="preserve">The computer network becomes visible as a network of people.</w:t>
      </w:r>
    </w:p>
    <w:bookmarkEnd w:id="46"/>
    <w:bookmarkStart w:id="47" w:name="stage-gates-should-outrank-the-calendar"/>
    <w:p>
      <w:pPr>
        <w:pStyle w:val="Heading3"/>
      </w:pPr>
      <w:r>
        <w:t xml:space="preserve">Stage gates should outrank the calendar</w:t>
      </w:r>
    </w:p>
    <w:p>
      <w:pPr>
        <w:pStyle w:val="FirstParagraph"/>
      </w:pPr>
      <w:r>
        <w:t xml:space="preserve">No numerical deployment target should become sacred. Expansion from 10 to 100 nodes should require evidence that the first sites have acceptable security, meaningful utilisation, community acceptance, reasonable energy efficiency and sound financial operations. One hundred to one thousand should require proof of cross-vendor portability and jurisdictional legal viability. Ten thousand to forty-four thousand should require evidence that the network is not creating a new centralised bureaucracy under the banner of decentralisation.</w:t>
      </w:r>
    </w:p>
    <w:p>
      <w:pPr>
        <w:pStyle w:val="BodyText"/>
      </w:pPr>
      <w:r>
        <w:t xml:space="preserve">Key metrics should include: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Domain</w:t>
            </w:r>
          </w:p>
        </w:tc>
        <w:tc>
          <w:tcPr/>
          <w:p>
            <w:pPr>
              <w:pStyle w:val="Compact"/>
            </w:pPr>
            <w:r>
              <w:t xml:space="preserve">Core measure</w:t>
            </w:r>
          </w:p>
        </w:tc>
      </w:tr>
      <w:tr>
        <w:tc>
          <w:tcPr/>
          <w:p>
            <w:pPr>
              <w:pStyle w:val="Compact"/>
            </w:pPr>
            <w:r>
              <w:t xml:space="preserve">Capability</w:t>
            </w:r>
          </w:p>
        </w:tc>
        <w:tc>
          <w:tcPr/>
          <w:p>
            <w:pPr>
              <w:pStyle w:val="Compact"/>
            </w:pPr>
            <w:r>
              <w:t xml:space="preserve">utilisation, latency, compute cost, percentage of workloads portable across vendors</w:t>
            </w:r>
          </w:p>
        </w:tc>
      </w:tr>
      <w:tr>
        <w:tc>
          <w:tcPr/>
          <w:p>
            <w:pPr>
              <w:pStyle w:val="Compact"/>
            </w:pPr>
            <w:r>
              <w:t xml:space="preserve">Sovereignty</w:t>
            </w:r>
          </w:p>
        </w:tc>
        <w:tc>
          <w:tcPr/>
          <w:p>
            <w:pPr>
              <w:pStyle w:val="Compact"/>
            </w:pPr>
            <w:r>
              <w:t xml:space="preserve">percentage of sensitive workloads kept local; time required to switch supplier; local key custody</w:t>
            </w:r>
          </w:p>
        </w:tc>
      </w:tr>
      <w:tr>
        <w:tc>
          <w:tcPr/>
          <w:p>
            <w:pPr>
              <w:pStyle w:val="Compact"/>
            </w:pPr>
            <w:r>
              <w:t xml:space="preserve">Inclusion</w:t>
            </w:r>
          </w:p>
        </w:tc>
        <w:tc>
          <w:tcPr/>
          <w:p>
            <w:pPr>
              <w:pStyle w:val="Compact"/>
            </w:pPr>
            <w:r>
              <w:t xml:space="preserve">students, community organisations, SMEs and researchers using the node; geographic and demographic participation</w:t>
            </w:r>
          </w:p>
        </w:tc>
      </w:tr>
      <w:tr>
        <w:tc>
          <w:tcPr/>
          <w:p>
            <w:pPr>
              <w:pStyle w:val="Compact"/>
            </w:pPr>
            <w:r>
              <w:t xml:space="preserve">C-Hour integrity</w:t>
            </w:r>
          </w:p>
        </w:tc>
        <w:tc>
          <w:tcPr/>
          <w:p>
            <w:pPr>
              <w:pStyle w:val="Compact"/>
            </w:pPr>
            <w:r>
              <w:t xml:space="preserve">verified hours, rejected/fraudulent claims, appeals, participation distribution, evidence of paid-work displacement</w:t>
            </w:r>
          </w:p>
        </w:tc>
      </w:tr>
      <w:tr>
        <w:tc>
          <w:tcPr/>
          <w:p>
            <w:pPr>
              <w:pStyle w:val="Compact"/>
            </w:pPr>
            <w:r>
              <w:t xml:space="preserve">Financial</w:t>
            </w:r>
          </w:p>
        </w:tc>
        <w:tc>
          <w:tcPr/>
          <w:p>
            <w:pPr>
              <w:pStyle w:val="Compact"/>
            </w:pPr>
            <w:r>
              <w:t xml:space="preserve">contracted revenue coverage, OPEX coverage, refresh reserve, debt-service resilience</w:t>
            </w:r>
          </w:p>
        </w:tc>
      </w:tr>
      <w:tr>
        <w:tc>
          <w:tcPr/>
          <w:p>
            <w:pPr>
              <w:pStyle w:val="Compact"/>
            </w:pPr>
            <w:r>
              <w:t xml:space="preserve">Resilience</w:t>
            </w:r>
          </w:p>
        </w:tc>
        <w:tc>
          <w:tcPr/>
          <w:p>
            <w:pPr>
              <w:pStyle w:val="Compact"/>
            </w:pPr>
            <w:r>
              <w:t xml:space="preserve">degraded-mode availability, failover time, local cached-service availability</w:t>
            </w:r>
          </w:p>
        </w:tc>
      </w:tr>
      <w:tr>
        <w:tc>
          <w:tcPr/>
          <w:p>
            <w:pPr>
              <w:pStyle w:val="Compact"/>
            </w:pPr>
            <w:r>
              <w:t xml:space="preserve">Environmental</w:t>
            </w:r>
          </w:p>
        </w:tc>
        <w:tc>
          <w:tcPr/>
          <w:p>
            <w:pPr>
              <w:pStyle w:val="Compact"/>
            </w:pPr>
            <w:r>
              <w:t xml:space="preserve">electricity per useful workload, water use, renewable additionality, equipment reuse/recycling</w:t>
            </w:r>
          </w:p>
        </w:tc>
      </w:tr>
      <w:tr>
        <w:tc>
          <w:tcPr/>
          <w:p>
            <w:pPr>
              <w:pStyle w:val="Compact"/>
            </w:pPr>
            <w:r>
              <w:t xml:space="preserve">Interoperability</w:t>
            </w:r>
          </w:p>
        </w:tc>
        <w:tc>
          <w:tcPr/>
          <w:p>
            <w:pPr>
              <w:pStyle w:val="Compact"/>
            </w:pPr>
            <w:r>
              <w:t xml:space="preserve">successful cross-node workloads, policy negotiation, model portability and identity/credential compatibility</w:t>
            </w:r>
          </w:p>
        </w:tc>
      </w:tr>
      <w:tr>
        <w:tc>
          <w:tcPr/>
          <w:p>
            <w:pPr>
              <w:pStyle w:val="Compact"/>
            </w:pPr>
            <w:r>
              <w:t xml:space="preserve">Indigenous sovereignty</w:t>
            </w:r>
          </w:p>
        </w:tc>
        <w:tc>
          <w:tcPr/>
          <w:p>
            <w:pPr>
              <w:pStyle w:val="Compact"/>
            </w:pPr>
            <w:r>
              <w:t xml:space="preserve">locally defined governance compliance and benefit measures rather than a centrally imposed KPI</w:t>
            </w:r>
          </w:p>
        </w:tc>
      </w:tr>
      <w:tr>
        <w:tc>
          <w:tcPr/>
          <w:p>
            <w:pPr>
              <w:pStyle w:val="Compact"/>
            </w:pPr>
            <w:r>
              <w:t xml:space="preserve">Peace/cooperation</w:t>
            </w:r>
          </w:p>
        </w:tc>
        <w:tc>
          <w:tcPr/>
          <w:p>
            <w:pPr>
              <w:pStyle w:val="Compact"/>
            </w:pPr>
            <w:r>
              <w:t xml:space="preserve">cross-border civic/scientific projects, sister-city collaborations and shared simulations—not a silly claim to have “measured world peace”</w:t>
            </w:r>
          </w:p>
        </w:tc>
      </w:tr>
    </w:tbl>
    <w:bookmarkEnd w:id="47"/>
    <w:bookmarkStart w:id="49" w:name="the-principal-risks"/>
    <w:p>
      <w:pPr>
        <w:pStyle w:val="Heading3"/>
      </w:pPr>
      <w:r>
        <w:t xml:space="preserve">The principal risks</w:t>
      </w:r>
    </w:p>
    <w:p>
      <w:pPr>
        <w:pStyle w:val="FirstParagraph"/>
      </w:pPr>
      <w:r>
        <w:t xml:space="preserve">The largest risk is</w:t>
      </w:r>
      <w:r>
        <w:t xml:space="preserve"> </w:t>
      </w:r>
      <w:r>
        <w:rPr>
          <w:b/>
          <w:bCs/>
        </w:rPr>
        <w:t xml:space="preserve">underutilisation</w:t>
      </w:r>
      <w:r>
        <w:t xml:space="preserve">. There is no economic reason every 10,000-person town needs 72 frontier GPUs operating continuously. The solution is not manufacturing workloads. It is modular population of the port, regional workload brokering and public availability contracts that explicitly value resilience and capability even when commercial utilisation is low.</w:t>
      </w:r>
    </w:p>
    <w:p>
      <w:pPr>
        <w:pStyle w:val="BodyText"/>
      </w:pPr>
      <w:r>
        <w:t xml:space="preserve">The second is</w:t>
      </w:r>
      <w:r>
        <w:t xml:space="preserve"> </w:t>
      </w:r>
      <w:r>
        <w:rPr>
          <w:b/>
          <w:bCs/>
        </w:rPr>
        <w:t xml:space="preserve">obsolescence</w:t>
      </w:r>
      <w:r>
        <w:t xml:space="preserve">. Stanford's evidence of extremely rapid compute growth makes a ten-year single-SKU procurement indefensible.</w:t>
      </w:r>
      <w:r>
        <w:t xml:space="preserve"> </w:t>
      </w:r>
      <w:hyperlink r:id="rId14">
        <w:r>
          <w:rPr>
            <w:rStyle w:val="Hyperlink"/>
          </w:rPr>
          <w:t xml:space="preserve">[5]</w:t>
        </w:r>
      </w:hyperlink>
      <w:r>
        <w:t xml:space="preserve"> </w:t>
      </w:r>
      <w:r>
        <w:t xml:space="preserve">Replaceable accelerator leases and open benchmark classes are the mitigation.</w:t>
      </w:r>
    </w:p>
    <w:p>
      <w:pPr>
        <w:pStyle w:val="BodyText"/>
      </w:pPr>
      <w:r>
        <w:t xml:space="preserve">The third is</w:t>
      </w:r>
      <w:r>
        <w:t xml:space="preserve"> </w:t>
      </w:r>
      <w:r>
        <w:rPr>
          <w:b/>
          <w:bCs/>
        </w:rPr>
        <w:t xml:space="preserve">energy</w:t>
      </w:r>
      <w:r>
        <w:t xml:space="preserve">. A network capable of consuming tens of terawatt-hours annually cannot call itself responsible abundance without generating or underwriting corresponding clean electricity and responding to local grid constraints. The IEA's projections show that AI/data-centre electricity is already becoming a globally significant planning issue.</w:t>
      </w:r>
      <w:r>
        <w:t xml:space="preserve"> </w:t>
      </w:r>
      <w:hyperlink r:id="rId48">
        <w:r>
          <w:rPr>
            <w:rStyle w:val="Hyperlink"/>
          </w:rPr>
          <w:t xml:space="preserve">[25]</w:t>
        </w:r>
      </w:hyperlink>
      <w:r>
        <w:t xml:space="preserve"> </w:t>
      </w:r>
      <w:r>
        <w:t xml:space="preserve">Some towns should therefore receive smaller systems until energy infrastructure catches up.</w:t>
      </w:r>
    </w:p>
    <w:p>
      <w:pPr>
        <w:pStyle w:val="BodyText"/>
      </w:pPr>
      <w:r>
        <w:t xml:space="preserve">The fourth is</w:t>
      </w:r>
      <w:r>
        <w:t xml:space="preserve"> </w:t>
      </w:r>
      <w:r>
        <w:rPr>
          <w:b/>
          <w:bCs/>
        </w:rPr>
        <w:t xml:space="preserve">geopolitical fragmentation</w:t>
      </w:r>
      <w:r>
        <w:t xml:space="preserve">. Export controls already make universal access to identical advanced US accelerator technology impossible.</w:t>
      </w:r>
      <w:r>
        <w:t xml:space="preserve"> </w:t>
      </w:r>
      <w:hyperlink r:id="rId25">
        <w:r>
          <w:rPr>
            <w:rStyle w:val="Hyperlink"/>
          </w:rPr>
          <w:t xml:space="preserve">[16]</w:t>
        </w:r>
      </w:hyperlink>
      <w:r>
        <w:t xml:space="preserve"> </w:t>
      </w:r>
      <w:r>
        <w:t xml:space="preserve">The answer is not evasion; it is open software and multiple lawful hardware ecosystems.</w:t>
      </w:r>
    </w:p>
    <w:p>
      <w:pPr>
        <w:pStyle w:val="BodyText"/>
      </w:pPr>
      <w:r>
        <w:t xml:space="preserve">The fifth is</w:t>
      </w:r>
      <w:r>
        <w:t xml:space="preserve"> </w:t>
      </w:r>
      <w:r>
        <w:rPr>
          <w:b/>
          <w:bCs/>
        </w:rPr>
        <w:t xml:space="preserve">dual use</w:t>
      </w:r>
      <w:r>
        <w:t xml:space="preserve">. Distributed frontier compute could also support offensive cyber operations, surveillance, propaganda or weapons development. A peace-oriented GAJRA fund should therefore adopt a civilian-commons prohibited-use charter covering autonomous lethal targeting, political biometric persecution, covert mass surveillance, offensive cyber operations and other clearly incompatible uses, backed by independent audit rather than a mere terms-of-service page.</w:t>
      </w:r>
    </w:p>
    <w:p>
      <w:pPr>
        <w:pStyle w:val="BodyText"/>
      </w:pPr>
      <w:r>
        <w:t xml:space="preserve">The sixth is</w:t>
      </w:r>
      <w:r>
        <w:t xml:space="preserve"> </w:t>
      </w:r>
      <w:r>
        <w:rPr>
          <w:b/>
          <w:bCs/>
        </w:rPr>
        <w:t xml:space="preserve">community or state capture</w:t>
      </w:r>
      <w:r>
        <w:t xml:space="preserve">. Locality is not automatically democratic. A mayor, corporation, faction or local elite can monopolise a local system just as effectively as a hyperscaler can monopolise a cloud. Independent ombuds mechanisms, transparent allocations, protected minority rights and the ability to leave or fork an association are essential.</w:t>
      </w:r>
    </w:p>
    <w:p>
      <w:pPr>
        <w:pStyle w:val="BodyText"/>
      </w:pPr>
      <w:r>
        <w:t xml:space="preserve">The seventh is</w:t>
      </w:r>
      <w:r>
        <w:t xml:space="preserve"> </w:t>
      </w:r>
      <w:r>
        <w:rPr>
          <w:b/>
          <w:bCs/>
        </w:rPr>
        <w:t xml:space="preserve">economic exploitation through the C-Hour</w:t>
      </w:r>
      <w:r>
        <w:t xml:space="preserve">. The same instrument that honours care could be used to normalise unpaid work. The hard firewall between employment and voluntary reciprocity is therefore not a secondary legal detail; it is part of the constitutional design. Current ABS time-use data make the existing gender burden impossible to ignore.</w:t>
      </w:r>
      <w:r>
        <w:t xml:space="preserve"> </w:t>
      </w:r>
      <w:hyperlink r:id="rId18">
        <w:r>
          <w:rPr>
            <w:rStyle w:val="Hyperlink"/>
          </w:rPr>
          <w:t xml:space="preserve">[23]</w:t>
        </w:r>
      </w:hyperlink>
    </w:p>
    <w:p>
      <w:pPr>
        <w:pStyle w:val="BodyText"/>
      </w:pPr>
      <w:r>
        <w:t xml:space="preserve">The eighth is</w:t>
      </w:r>
      <w:r>
        <w:t xml:space="preserve"> </w:t>
      </w:r>
      <w:r>
        <w:rPr>
          <w:b/>
          <w:bCs/>
        </w:rPr>
        <w:t xml:space="preserve">reputational contamination</w:t>
      </w:r>
      <w:r>
        <w:t xml:space="preserve">. The fund should be exceptionally clear that speculative GAJRA tokens, ICO-style fundraising, leveraged crypto treasury strategies and unvalidated health claims are outside its mandate. The strongest current Community Ledger already provides a path away from that by defining the emerging C-Hour as non-speculative and making crypto optional rather than foundational.</w:t>
      </w:r>
      <w:r>
        <w:t xml:space="preserve"> </w:t>
      </w:r>
      <w:hyperlink r:id="rId21">
        <w:r>
          <w:rPr>
            <w:rStyle w:val="Hyperlink"/>
          </w:rPr>
          <w:t xml:space="preserve">[11]</w:t>
        </w:r>
      </w:hyperlink>
      <w:r>
        <w:t xml:space="preserve"> </w:t>
      </w:r>
      <w:r>
        <w:t xml:space="preserve">The Olympic health paper can continue as a separate research concept, but it should not sit inside the A$250 billion investment memorandum. fileciteturn0file11</w:t>
      </w:r>
    </w:p>
    <w:bookmarkEnd w:id="49"/>
    <w:bookmarkStart w:id="50" w:name="Xcbb7682480ce1a680a984f2be644166853317a5"/>
    <w:p>
      <w:pPr>
        <w:pStyle w:val="Heading3"/>
      </w:pPr>
      <w:r>
        <w:t xml:space="preserve">Why this is rational as a Protopian Gambit</w:t>
      </w:r>
    </w:p>
    <w:p>
      <w:pPr>
        <w:pStyle w:val="FirstParagraph"/>
      </w:pPr>
      <w:r>
        <w:t xml:space="preserve">The peace argument becomes stronger when it is presented as an</w:t>
      </w:r>
      <w:r>
        <w:t xml:space="preserve"> </w:t>
      </w:r>
      <w:r>
        <w:rPr>
          <w:b/>
          <w:bCs/>
        </w:rPr>
        <w:t xml:space="preserve">expected-value and real-options thesis rather than a prediction</w:t>
      </w:r>
      <w:r>
        <w:t xml:space="preserve">.</w:t>
      </w:r>
    </w:p>
    <w:p>
      <w:pPr>
        <w:pStyle w:val="BodyText"/>
      </w:pPr>
      <w:r>
        <w:t xml:space="preserve">It would be irresponsible to tell investors or governments that installing 44,000 racks will cause world peace.</w:t>
      </w:r>
    </w:p>
    <w:p>
      <w:pPr>
        <w:pStyle w:val="BodyText"/>
      </w:pPr>
      <w:r>
        <w:t xml:space="preserve">The defensible proposition is:</w:t>
      </w:r>
    </w:p>
    <w:p>
      <w:pPr>
        <w:pStyle w:val="BlockText"/>
      </w:pPr>
      <w:r>
        <w:rPr>
          <w:b/>
          <w:bCs/>
        </w:rPr>
        <w:t xml:space="preserve">In a period of unusually rapid and geographically concentrated AI capability growth, there is strategic value in giving thousands of communities the physical ability to learn, build, model, translate, cooperate and retain meaningful technological sovereignty.</w:t>
      </w:r>
    </w:p>
    <w:p>
      <w:pPr>
        <w:pStyle w:val="FirstParagraph"/>
      </w:pPr>
      <w:r>
        <w:t xml:space="preserve">That could contribute to peace through several mechanisms: reducing the gap between AI-capable centres and AI-dependent peripheries; creating durable technical relationships among towns, universities and Native Nations; improving shared climate and disaster modelling; supporting multilingual communication and cultural preservation; making the infrastructure of AI understandable to ordinary people; and creating productive positive-sum projects through which communities encounter one another as collaborators rather than abstractions.</w:t>
      </w:r>
    </w:p>
    <w:p>
      <w:pPr>
        <w:pStyle w:val="BodyText"/>
      </w:pPr>
      <w:r>
        <w:t xml:space="preserve">The UN Global Digital Compact's emphasis on AI capacity building, interoperable governance and avoiding a widening digital divide shows that this is not a fringe problem statement.</w:t>
      </w:r>
      <w:r>
        <w:t xml:space="preserve"> </w:t>
      </w:r>
      <w:hyperlink r:id="rId30">
        <w:r>
          <w:rPr>
            <w:rStyle w:val="Hyperlink"/>
          </w:rPr>
          <w:t xml:space="preserve">[19]</w:t>
        </w:r>
      </w:hyperlink>
      <w:r>
        <w:t xml:space="preserve"> </w:t>
      </w:r>
      <w:r>
        <w:t xml:space="preserve">Indigenous data-governance scholarship shows equally clearly that interoperability without authority and benefit-sharing can reproduce old power asymmetries rather than resolve them.</w:t>
      </w:r>
      <w:r>
        <w:t xml:space="preserve"> </w:t>
      </w:r>
      <w:hyperlink r:id="rId37">
        <w:r>
          <w:rPr>
            <w:rStyle w:val="Hyperlink"/>
          </w:rPr>
          <w:t xml:space="preserve">[21]</w:t>
        </w:r>
      </w:hyperlink>
      <w:r>
        <w:t xml:space="preserve"> </w:t>
      </w:r>
      <w:r>
        <w:t xml:space="preserve">GAJRA's distinctive contribution could be to put those two imperatives together:</w:t>
      </w:r>
      <w:r>
        <w:t xml:space="preserve"> </w:t>
      </w:r>
      <w:r>
        <w:rPr>
          <w:b/>
          <w:bCs/>
        </w:rPr>
        <w:t xml:space="preserve">global interoperability with local refusal rights</w:t>
      </w:r>
      <w:r>
        <w:t xml:space="preserve">.</w:t>
      </w:r>
    </w:p>
    <w:p>
      <w:pPr>
        <w:pStyle w:val="BodyText"/>
      </w:pPr>
      <w:r>
        <w:t xml:space="preserve">Most importantly, the gambit has useful downside.</w:t>
      </w:r>
    </w:p>
    <w:p>
      <w:pPr>
        <w:pStyle w:val="BodyText"/>
      </w:pPr>
      <w:r>
        <w:t xml:space="preserve">If AI progress slows dramatically, the hubs still function as research, education, simulation, resilience and digital-skills infrastructure.</w:t>
      </w:r>
    </w:p>
    <w:p>
      <w:pPr>
        <w:pStyle w:val="BodyText"/>
      </w:pPr>
      <w:r>
        <w:t xml:space="preserve">If frontier AI advances vastly faster than expected, the hubs become sovereign gateways through which communities can safely consume that intelligence.</w:t>
      </w:r>
    </w:p>
    <w:p>
      <w:pPr>
        <w:pStyle w:val="BodyText"/>
      </w:pPr>
      <w:r>
        <w:t xml:space="preserve">If open models dominate, the network can host them locally.</w:t>
      </w:r>
    </w:p>
    <w:p>
      <w:pPr>
        <w:pStyle w:val="BodyText"/>
      </w:pPr>
      <w:r>
        <w:t xml:space="preserve">If closed hyperscalers dominate, communities retain a bargaining alternative and local data boundary.</w:t>
      </w:r>
    </w:p>
    <w:p>
      <w:pPr>
        <w:pStyle w:val="BodyText"/>
      </w:pPr>
      <w:r>
        <w:t xml:space="preserve">If one hardware vendor wins, the ports can adopt it.</w:t>
      </w:r>
    </w:p>
    <w:p>
      <w:pPr>
        <w:pStyle w:val="BodyText"/>
      </w:pPr>
      <w:r>
        <w:t xml:space="preserve">If several architectures flourish, the interoperability layer becomes more valuable.</w:t>
      </w:r>
    </w:p>
    <w:p>
      <w:pPr>
        <w:pStyle w:val="BodyText"/>
      </w:pPr>
      <w:r>
        <w:t xml:space="preserve">If severe communications outages occur, local models, local data and neighbourhood meshes continue selected functions.</w:t>
      </w:r>
    </w:p>
    <w:p>
      <w:pPr>
        <w:pStyle w:val="BodyText"/>
      </w:pPr>
      <w:r>
        <w:t xml:space="preserve">If the ambitious world-peace hypothesis produces only modest effects, the world is still left with tens of thousands of communities containing trained people, advanced scientific equipment and an institutional reason to cooperate.</w:t>
      </w:r>
    </w:p>
    <w:p>
      <w:pPr>
        <w:pStyle w:val="BodyText"/>
      </w:pPr>
      <w:r>
        <w:t xml:space="preserve">That asymmetry is what makes it a genuine</w:t>
      </w:r>
      <w:r>
        <w:t xml:space="preserve"> </w:t>
      </w:r>
      <w:r>
        <w:rPr>
          <w:b/>
          <w:bCs/>
        </w:rPr>
        <w:t xml:space="preserve">Protopian Gambit</w:t>
      </w:r>
      <w:r>
        <w:t xml:space="preserve"> </w:t>
      </w:r>
      <w:r>
        <w:t xml:space="preserve">rather than a utopian wager.</w:t>
      </w:r>
    </w:p>
    <w:p>
      <w:pPr>
        <w:pStyle w:val="BodyText"/>
      </w:pPr>
      <w:r>
        <w:t xml:space="preserve">The capital also needs perspective. A$250 billion is enormous for a civic initiative, but AI infrastructure is already operating at extraordinary global scale: Stanford reports rapidly compounding compute capacity and severe supplier concentration, while the IEA expects electricity use by data centres to more than double by 2030.</w:t>
      </w:r>
      <w:r>
        <w:t xml:space="preserve"> </w:t>
      </w:r>
      <w:hyperlink r:id="rId14">
        <w:r>
          <w:rPr>
            <w:rStyle w:val="Hyperlink"/>
          </w:rPr>
          <w:t xml:space="preserve">[26]</w:t>
        </w:r>
      </w:hyperlink>
      <w:r>
        <w:t xml:space="preserve"> </w:t>
      </w:r>
      <w:r>
        <w:t xml:space="preserve">The question is therefore not whether civilisation will spend hundreds of billions on AI infrastructure. It plainly is doing so. The strategic question is</w:t>
      </w:r>
      <w:r>
        <w:t xml:space="preserve"> </w:t>
      </w:r>
      <w:r>
        <w:rPr>
          <w:b/>
          <w:bCs/>
        </w:rPr>
        <w:t xml:space="preserve">what institutional form some of that infrastructure should take, who gets to shape it, and where the intelligence physically lives</w:t>
      </w:r>
      <w:r>
        <w:t xml:space="preserve">.</w:t>
      </w:r>
    </w:p>
    <w:p>
      <w:pPr>
        <w:pStyle w:val="BodyText"/>
      </w:pPr>
      <w:r>
        <w:t xml:space="preserve">The strongest investment proposition I can derive from all of the uploaded material is consequently this:</w:t>
      </w:r>
    </w:p>
    <w:p>
      <w:pPr>
        <w:pStyle w:val="BlockText"/>
      </w:pPr>
      <w:r>
        <w:rPr>
          <w:b/>
          <w:bCs/>
        </w:rPr>
        <w:t xml:space="preserve">Use A$250 billion not to create another global AI company, another speculative token or another centralised supercomputer, but to capitalise a federated civic infrastructure institution whose valuable assets are local compute capability, human skill, open interoperability and sovereign choice.</w:t>
      </w:r>
    </w:p>
    <w:p>
      <w:pPr>
        <w:pStyle w:val="FirstParagraph"/>
      </w:pPr>
      <w:r>
        <w:rPr>
          <w:b/>
          <w:bCs/>
        </w:rPr>
        <w:t xml:space="preserve">Joyful</w:t>
      </w:r>
      <w:r>
        <w:t xml:space="preserve"> </w:t>
      </w:r>
      <w:r>
        <w:t xml:space="preserve">should mean that technology enlarges people's agency, creativity, relationships and opportunities rather than merely increasing throughput.</w:t>
      </w:r>
    </w:p>
    <w:p>
      <w:pPr>
        <w:pStyle w:val="BodyText"/>
      </w:pPr>
      <w:r>
        <w:rPr>
          <w:b/>
          <w:bCs/>
        </w:rPr>
        <w:t xml:space="preserve">Responsible</w:t>
      </w:r>
      <w:r>
        <w:t xml:space="preserve"> </w:t>
      </w:r>
      <w:r>
        <w:t xml:space="preserve">should mean hard energy constraints, safety, human rights, auditability, privacy, cultural authority and a refusal to finance today's abundance by exporting tomorrow's costs.</w:t>
      </w:r>
    </w:p>
    <w:p>
      <w:pPr>
        <w:pStyle w:val="BodyText"/>
      </w:pPr>
      <w:r>
        <w:rPr>
          <w:b/>
          <w:bCs/>
        </w:rPr>
        <w:t xml:space="preserve">Abundance</w:t>
      </w:r>
      <w:r>
        <w:t xml:space="preserve"> </w:t>
      </w:r>
      <w:r>
        <w:t xml:space="preserve">should mean that advanced intelligence ceases to be an exotic resource available principally to a handful of companies and capitals—not an assertion that physical resources are infinite.</w:t>
      </w:r>
    </w:p>
    <w:p>
      <w:pPr>
        <w:pStyle w:val="BodyText"/>
      </w:pPr>
      <w:r>
        <w:t xml:space="preserve">And the</w:t>
      </w:r>
      <w:r>
        <w:t xml:space="preserve"> </w:t>
      </w:r>
      <w:r>
        <w:rPr>
          <w:b/>
          <w:bCs/>
        </w:rPr>
        <w:t xml:space="preserve">Braided Economy</w:t>
      </w:r>
      <w:r>
        <w:t xml:space="preserve"> </w:t>
      </w:r>
      <w:r>
        <w:t xml:space="preserve">should mean that the market continues doing what markets do well—pricing hardware, energy, skilled professional work, construction and commercial services—while a separate Community Hour gives communities a rigorous way to see and recognise the human time that conventional ledgers routinely miss. fileciteturn0file10</w:t>
      </w:r>
    </w:p>
    <w:p>
      <w:pPr>
        <w:pStyle w:val="BodyText"/>
      </w:pPr>
      <w:r>
        <w:t xml:space="preserve">At the centre of the whole plan is one deceptively simple architectural choice:</w:t>
      </w:r>
    </w:p>
    <w:p>
      <w:pPr>
        <w:pStyle w:val="BodyText"/>
      </w:pPr>
      <w:r>
        <w:rPr>
          <w:b/>
          <w:bCs/>
        </w:rPr>
        <w:t xml:space="preserve">Do not centralise the answer to humanity's differences. Give communities a common language through which their differences can remain sovereign.</w:t>
      </w:r>
    </w:p>
    <w:p>
      <w:pPr>
        <w:pStyle w:val="BodyText"/>
      </w:pPr>
      <w:r>
        <w:t xml:space="preserve">Forty-four thousand locally governed compute nodes would not constitute a world government.</w:t>
      </w:r>
    </w:p>
    <w:p>
      <w:pPr>
        <w:pStyle w:val="BodyText"/>
      </w:pPr>
      <w:r>
        <w:t xml:space="preserve">Properly designed, they could constitute something considerably more Protopian:</w:t>
      </w:r>
    </w:p>
    <w:p>
      <w:pPr>
        <w:pStyle w:val="BodyText"/>
      </w:pPr>
      <w:r>
        <w:rPr>
          <w:b/>
          <w:bCs/>
        </w:rPr>
        <w:t xml:space="preserve">a world capable of interoperating without first becoming identical.</w:t>
      </w:r>
    </w:p>
    <w:bookmarkEnd w:id="50"/>
    <w:bookmarkEnd w:id="51"/>
    <w:bookmarkEnd w:id="52"/>
    <w:bookmarkEnd w:id="53"/>
    <w:p>
      <w:r>
        <w:pict>
          <v:rect style="width:0;height:1.5pt" o:hralign="center" o:hrstd="t" o:hr="t"/>
        </w:pict>
      </w:r>
    </w:p>
    <w:bookmarkStart w:id="54" w:name="citations"/>
    <w:p>
      <w:pPr>
        <w:pStyle w:val="FirstParagraph"/>
      </w:pPr>
      <w:hyperlink r:id="rId10">
        <w:r>
          <w:rPr>
            <w:rStyle w:val="Hyperlink"/>
          </w:rPr>
          <w:t xml:space="preserve">[1]</w:t>
        </w:r>
      </w:hyperlink>
      <w:r>
        <w:t xml:space="preserve"> </w:t>
      </w:r>
      <w:r>
        <w:t xml:space="preserve">https://www.csiro.au/en/news/All/News/2026/May/Vetra-AI-infrastructure</w:t>
      </w:r>
    </w:p>
    <w:p>
      <w:pPr>
        <w:pStyle w:val="BodyText"/>
      </w:pPr>
      <w:hyperlink r:id="rId10">
        <w:r>
          <w:rPr>
            <w:rStyle w:val="Hyperlink"/>
          </w:rPr>
          <w:t xml:space="preserve">https://www.csiro.au/en/news/All/News/2026/May/Vetra-AI-infrastructure</w:t>
        </w:r>
      </w:hyperlink>
    </w:p>
    <w:p>
      <w:pPr>
        <w:pStyle w:val="BodyText"/>
      </w:pPr>
      <w:hyperlink r:id="rId11">
        <w:r>
          <w:rPr>
            <w:rStyle w:val="Hyperlink"/>
          </w:rPr>
          <w:t xml:space="preserve">[2]</w:t>
        </w:r>
      </w:hyperlink>
      <w:r>
        <w:t xml:space="preserve"> </w:t>
      </w:r>
      <w:r>
        <w:t xml:space="preserve">https://www.nvidia.com/en-au/data-center/gb300-nvl72/</w:t>
      </w:r>
    </w:p>
    <w:p>
      <w:pPr>
        <w:pStyle w:val="BodyText"/>
      </w:pPr>
      <w:hyperlink r:id="rId11">
        <w:r>
          <w:rPr>
            <w:rStyle w:val="Hyperlink"/>
          </w:rPr>
          <w:t xml:space="preserve">https://www.nvidia.com/en-au/data-center/gb300-nvl72/</w:t>
        </w:r>
      </w:hyperlink>
    </w:p>
    <w:p>
      <w:pPr>
        <w:pStyle w:val="BodyText"/>
      </w:pPr>
      <w:hyperlink r:id="rId12">
        <w:r>
          <w:rPr>
            <w:rStyle w:val="Hyperlink"/>
          </w:rPr>
          <w:t xml:space="preserve">[3]</w:t>
        </w:r>
      </w:hyperlink>
      <w:r>
        <w:t xml:space="preserve"> </w:t>
      </w:r>
      <w:r>
        <w:t xml:space="preserve">https://au.finance.yahoo.com/news/super-micro-tumbles-10-reported-120411450.html/</w:t>
      </w:r>
    </w:p>
    <w:p>
      <w:pPr>
        <w:pStyle w:val="BodyText"/>
      </w:pPr>
      <w:hyperlink r:id="rId12">
        <w:r>
          <w:rPr>
            <w:rStyle w:val="Hyperlink"/>
          </w:rPr>
          <w:t xml:space="preserve">https://au.finance.yahoo.com/news/super-micro-tumbles-10-reported-120411450.html/</w:t>
        </w:r>
      </w:hyperlink>
    </w:p>
    <w:p>
      <w:pPr>
        <w:pStyle w:val="BodyText"/>
      </w:pPr>
      <w:hyperlink r:id="rId13">
        <w:r>
          <w:rPr>
            <w:rStyle w:val="Hyperlink"/>
          </w:rPr>
          <w:t xml:space="preserve">[4]</w:t>
        </w:r>
      </w:hyperlink>
      <w:r>
        <w:t xml:space="preserve"> </w:t>
      </w:r>
      <w:r>
        <w:t xml:space="preserve">https://www.rba.gov.au/exchange-rates-overview.html</w:t>
      </w:r>
    </w:p>
    <w:p>
      <w:pPr>
        <w:pStyle w:val="BodyText"/>
      </w:pPr>
      <w:hyperlink r:id="rId13">
        <w:r>
          <w:rPr>
            <w:rStyle w:val="Hyperlink"/>
          </w:rPr>
          <w:t xml:space="preserve">https://www.rba.gov.au/exchange-rates-overview.html</w:t>
        </w:r>
      </w:hyperlink>
    </w:p>
    <w:p>
      <w:pPr>
        <w:pStyle w:val="BodyText"/>
      </w:pPr>
      <w:hyperlink r:id="rId14">
        <w:r>
          <w:rPr>
            <w:rStyle w:val="Hyperlink"/>
          </w:rPr>
          <w:t xml:space="preserve">[5]</w:t>
        </w:r>
      </w:hyperlink>
      <w:r>
        <w:t xml:space="preserve"> </w:t>
      </w:r>
      <w:hyperlink r:id="rId14">
        <w:r>
          <w:rPr>
            <w:rStyle w:val="Hyperlink"/>
          </w:rPr>
          <w:t xml:space="preserve">[26]</w:t>
        </w:r>
      </w:hyperlink>
      <w:r>
        <w:t xml:space="preserve"> </w:t>
      </w:r>
      <w:r>
        <w:t xml:space="preserve">https://hai.stanford.edu/ai-index/2026-ai-index-report/research-and-development</w:t>
      </w:r>
    </w:p>
    <w:p>
      <w:pPr>
        <w:pStyle w:val="BodyText"/>
      </w:pPr>
      <w:hyperlink r:id="rId14">
        <w:r>
          <w:rPr>
            <w:rStyle w:val="Hyperlink"/>
          </w:rPr>
          <w:t xml:space="preserve">https://hai.stanford.edu/ai-index/2026-ai-index-report/research-and-development</w:t>
        </w:r>
      </w:hyperlink>
    </w:p>
    <w:p>
      <w:pPr>
        <w:pStyle w:val="BodyText"/>
      </w:pPr>
      <w:hyperlink r:id="rId16">
        <w:r>
          <w:rPr>
            <w:rStyle w:val="Hyperlink"/>
          </w:rPr>
          <w:t xml:space="preserve">[6]</w:t>
        </w:r>
      </w:hyperlink>
      <w:r>
        <w:t xml:space="preserve"> </w:t>
      </w:r>
      <w:r>
        <w:t xml:space="preserve">https://www.industry.gov.au/publications/national-ai-plan</w:t>
      </w:r>
    </w:p>
    <w:p>
      <w:pPr>
        <w:pStyle w:val="BodyText"/>
      </w:pPr>
      <w:hyperlink r:id="rId16">
        <w:r>
          <w:rPr>
            <w:rStyle w:val="Hyperlink"/>
          </w:rPr>
          <w:t xml:space="preserve">https://www.industry.gov.au/publications/national-ai-plan</w:t>
        </w:r>
      </w:hyperlink>
    </w:p>
    <w:p>
      <w:pPr>
        <w:pStyle w:val="BodyText"/>
      </w:pPr>
      <w:hyperlink r:id="rId17">
        <w:r>
          <w:rPr>
            <w:rStyle w:val="Hyperlink"/>
          </w:rPr>
          <w:t xml:space="preserve">[7]</w:t>
        </w:r>
      </w:hyperlink>
      <w:r>
        <w:t xml:space="preserve"> </w:t>
      </w:r>
      <w:hyperlink r:id="rId17">
        <w:r>
          <w:rPr>
            <w:rStyle w:val="Hyperlink"/>
          </w:rPr>
          <w:t xml:space="preserve">[12]</w:t>
        </w:r>
      </w:hyperlink>
      <w:r>
        <w:t xml:space="preserve"> </w:t>
      </w:r>
      <w:hyperlink r:id="rId17">
        <w:r>
          <w:rPr>
            <w:rStyle w:val="Hyperlink"/>
          </w:rPr>
          <w:t xml:space="preserve">[14]</w:t>
        </w:r>
      </w:hyperlink>
      <w:r>
        <w:t xml:space="preserve"> </w:t>
      </w:r>
      <w:r>
        <w:t xml:space="preserve">https://docs.nvidia.com/enterprise-reference-architectures/nvl72-ai-factory/latest/components.html</w:t>
      </w:r>
    </w:p>
    <w:p>
      <w:pPr>
        <w:pStyle w:val="BodyText"/>
      </w:pPr>
      <w:hyperlink r:id="rId17">
        <w:r>
          <w:rPr>
            <w:rStyle w:val="Hyperlink"/>
          </w:rPr>
          <w:t xml:space="preserve">https://docs.nvidia.com/enterprise-reference-architectures/nvl72-ai-factory/latest/components.html</w:t>
        </w:r>
      </w:hyperlink>
    </w:p>
    <w:p>
      <w:pPr>
        <w:pStyle w:val="BodyText"/>
      </w:pPr>
      <w:hyperlink r:id="rId18">
        <w:r>
          <w:rPr>
            <w:rStyle w:val="Hyperlink"/>
          </w:rPr>
          <w:t xml:space="preserve">[8]</w:t>
        </w:r>
      </w:hyperlink>
      <w:r>
        <w:t xml:space="preserve"> </w:t>
      </w:r>
      <w:hyperlink r:id="rId18">
        <w:r>
          <w:rPr>
            <w:rStyle w:val="Hyperlink"/>
          </w:rPr>
          <w:t xml:space="preserve">[23]</w:t>
        </w:r>
      </w:hyperlink>
      <w:r>
        <w:t xml:space="preserve"> </w:t>
      </w:r>
      <w:r>
        <w:t xml:space="preserve">https://www.abs.gov.au/statistics/people/people-and-communities/how-australians-use-their-time/2024</w:t>
      </w:r>
    </w:p>
    <w:p>
      <w:pPr>
        <w:pStyle w:val="BodyText"/>
      </w:pPr>
      <w:hyperlink r:id="rId18">
        <w:r>
          <w:rPr>
            <w:rStyle w:val="Hyperlink"/>
          </w:rPr>
          <w:t xml:space="preserve">https://www.abs.gov.au/statistics/people/people-and-communities/how-australians-use-their-time/2024</w:t>
        </w:r>
      </w:hyperlink>
    </w:p>
    <w:p>
      <w:pPr>
        <w:pStyle w:val="BodyText"/>
      </w:pPr>
      <w:hyperlink r:id="rId19">
        <w:r>
          <w:rPr>
            <w:rStyle w:val="Hyperlink"/>
          </w:rPr>
          <w:t xml:space="preserve">[9]</w:t>
        </w:r>
      </w:hyperlink>
      <w:r>
        <w:t xml:space="preserve"> </w:t>
      </w:r>
      <w:r>
        <w:t xml:space="preserve">https://pubmed.ncbi.nlm.nih.gov/41920919/</w:t>
      </w:r>
    </w:p>
    <w:p>
      <w:pPr>
        <w:pStyle w:val="BodyText"/>
      </w:pPr>
      <w:hyperlink r:id="rId19">
        <w:r>
          <w:rPr>
            <w:rStyle w:val="Hyperlink"/>
          </w:rPr>
          <w:t xml:space="preserve">https://pubmed.ncbi.nlm.nih.gov/41920919/</w:t>
        </w:r>
      </w:hyperlink>
    </w:p>
    <w:p>
      <w:pPr>
        <w:pStyle w:val="BodyText"/>
      </w:pPr>
      <w:hyperlink r:id="rId20">
        <w:r>
          <w:rPr>
            <w:rStyle w:val="Hyperlink"/>
          </w:rPr>
          <w:t xml:space="preserve">[10]</w:t>
        </w:r>
      </w:hyperlink>
      <w:r>
        <w:t xml:space="preserve"> </w:t>
      </w:r>
      <w:r>
        <w:t xml:space="preserve">https://www.business.qld.gov.au/running-business/support-services/financial/grants/local-digital-priority-projects</w:t>
      </w:r>
    </w:p>
    <w:p>
      <w:pPr>
        <w:pStyle w:val="BodyText"/>
      </w:pPr>
      <w:hyperlink r:id="rId20">
        <w:r>
          <w:rPr>
            <w:rStyle w:val="Hyperlink"/>
          </w:rPr>
          <w:t xml:space="preserve">https://www.business.qld.gov.au/running-business/support-services/financial/grants/local-digital-priority-projects</w:t>
        </w:r>
      </w:hyperlink>
    </w:p>
    <w:p>
      <w:pPr>
        <w:pStyle w:val="BodyText"/>
      </w:pPr>
      <w:hyperlink r:id="rId21">
        <w:r>
          <w:rPr>
            <w:rStyle w:val="Hyperlink"/>
          </w:rPr>
          <w:t xml:space="preserve">[11]</w:t>
        </w:r>
      </w:hyperlink>
      <w:r>
        <w:t xml:space="preserve"> </w:t>
      </w:r>
      <w:r>
        <w:t xml:space="preserve">https://auraofintelligence.github.io/strange-but-true/community-ledger.html</w:t>
      </w:r>
    </w:p>
    <w:p>
      <w:pPr>
        <w:pStyle w:val="BodyText"/>
      </w:pPr>
      <w:hyperlink r:id="rId21">
        <w:r>
          <w:rPr>
            <w:rStyle w:val="Hyperlink"/>
          </w:rPr>
          <w:t xml:space="preserve">https://auraofintelligence.github.io/strange-but-true/community-ledger.html</w:t>
        </w:r>
      </w:hyperlink>
    </w:p>
    <w:p>
      <w:pPr>
        <w:pStyle w:val="BodyText"/>
      </w:pPr>
      <w:hyperlink r:id="rId23">
        <w:r>
          <w:rPr>
            <w:rStyle w:val="Hyperlink"/>
          </w:rPr>
          <w:t xml:space="preserve">[13]</w:t>
        </w:r>
      </w:hyperlink>
      <w:r>
        <w:t xml:space="preserve"> </w:t>
      </w:r>
      <w:r>
        <w:t xml:space="preserve">https://www.industry.gov.au/publications/expectations-data-centres-and-ai-infrastructure-developers</w:t>
      </w:r>
    </w:p>
    <w:p>
      <w:pPr>
        <w:pStyle w:val="BodyText"/>
      </w:pPr>
      <w:hyperlink r:id="rId23">
        <w:r>
          <w:rPr>
            <w:rStyle w:val="Hyperlink"/>
          </w:rPr>
          <w:t xml:space="preserve">https://www.industry.gov.au/publications/expectations-data-centres-and-ai-infrastructure-developers</w:t>
        </w:r>
      </w:hyperlink>
    </w:p>
    <w:p>
      <w:pPr>
        <w:pStyle w:val="BodyText"/>
      </w:pPr>
      <w:hyperlink r:id="rId24">
        <w:r>
          <w:rPr>
            <w:rStyle w:val="Hyperlink"/>
          </w:rPr>
          <w:t xml:space="preserve">[15]</w:t>
        </w:r>
      </w:hyperlink>
      <w:r>
        <w:t xml:space="preserve"> </w:t>
      </w:r>
      <w:r>
        <w:t xml:space="preserve">https://www.iea.org/reports/energy-and-ai/energy-demand-from-ai</w:t>
      </w:r>
    </w:p>
    <w:p>
      <w:pPr>
        <w:pStyle w:val="BodyText"/>
      </w:pPr>
      <w:hyperlink r:id="rId24">
        <w:r>
          <w:rPr>
            <w:rStyle w:val="Hyperlink"/>
          </w:rPr>
          <w:t xml:space="preserve">https://www.iea.org/reports/energy-and-ai/energy-demand-from-ai</w:t>
        </w:r>
      </w:hyperlink>
    </w:p>
    <w:p>
      <w:pPr>
        <w:pStyle w:val="BodyText"/>
      </w:pPr>
      <w:hyperlink r:id="rId25">
        <w:r>
          <w:rPr>
            <w:rStyle w:val="Hyperlink"/>
          </w:rPr>
          <w:t xml:space="preserve">[16]</w:t>
        </w:r>
      </w:hyperlink>
      <w:r>
        <w:t xml:space="preserve"> </w:t>
      </w:r>
      <w:r>
        <w:t xml:space="preserve">https://www.bis.gov/</w:t>
      </w:r>
    </w:p>
    <w:p>
      <w:pPr>
        <w:pStyle w:val="BodyText"/>
      </w:pPr>
      <w:hyperlink r:id="rId25">
        <w:r>
          <w:rPr>
            <w:rStyle w:val="Hyperlink"/>
          </w:rPr>
          <w:t xml:space="preserve">https://www.bis.gov/</w:t>
        </w:r>
      </w:hyperlink>
    </w:p>
    <w:p>
      <w:pPr>
        <w:pStyle w:val="BodyText"/>
      </w:pPr>
      <w:hyperlink r:id="rId28">
        <w:r>
          <w:rPr>
            <w:rStyle w:val="Hyperlink"/>
          </w:rPr>
          <w:t xml:space="preserve">[17]</w:t>
        </w:r>
      </w:hyperlink>
      <w:r>
        <w:t xml:space="preserve"> </w:t>
      </w:r>
      <w:hyperlink r:id="rId28">
        <w:r>
          <w:rPr>
            <w:rStyle w:val="Hyperlink"/>
          </w:rPr>
          <w:t xml:space="preserve">[18]</w:t>
        </w:r>
      </w:hyperlink>
      <w:r>
        <w:t xml:space="preserve"> </w:t>
      </w:r>
      <w:r>
        <w:t xml:space="preserve">https://au.finance.yahoo.com/news/wolfe-lifts-nvidia-target-25-145211736.html</w:t>
      </w:r>
    </w:p>
    <w:p>
      <w:pPr>
        <w:pStyle w:val="BodyText"/>
      </w:pPr>
      <w:hyperlink r:id="rId28">
        <w:r>
          <w:rPr>
            <w:rStyle w:val="Hyperlink"/>
          </w:rPr>
          <w:t xml:space="preserve">https://au.finance.yahoo.com/news/wolfe-lifts-nvidia-target-25-145211736.html</w:t>
        </w:r>
      </w:hyperlink>
    </w:p>
    <w:p>
      <w:pPr>
        <w:pStyle w:val="BodyText"/>
      </w:pPr>
      <w:hyperlink r:id="rId30">
        <w:r>
          <w:rPr>
            <w:rStyle w:val="Hyperlink"/>
          </w:rPr>
          <w:t xml:space="preserve">[19]</w:t>
        </w:r>
      </w:hyperlink>
      <w:r>
        <w:t xml:space="preserve"> </w:t>
      </w:r>
      <w:r>
        <w:t xml:space="preserve">https://www.un.org/global-digital-compact/en</w:t>
      </w:r>
    </w:p>
    <w:p>
      <w:pPr>
        <w:pStyle w:val="BodyText"/>
      </w:pPr>
      <w:hyperlink r:id="rId30">
        <w:r>
          <w:rPr>
            <w:rStyle w:val="Hyperlink"/>
          </w:rPr>
          <w:t xml:space="preserve">https://www.un.org/global-digital-compact/en</w:t>
        </w:r>
      </w:hyperlink>
    </w:p>
    <w:p>
      <w:pPr>
        <w:pStyle w:val="BodyText"/>
      </w:pPr>
      <w:hyperlink r:id="rId35">
        <w:r>
          <w:rPr>
            <w:rStyle w:val="Hyperlink"/>
          </w:rPr>
          <w:t xml:space="preserve">[20]</w:t>
        </w:r>
      </w:hyperlink>
      <w:r>
        <w:t xml:space="preserve"> </w:t>
      </w:r>
      <w:hyperlink r:id="rId35">
        <w:r>
          <w:rPr>
            <w:rStyle w:val="Hyperlink"/>
          </w:rPr>
          <w:t xml:space="preserve">[24]</w:t>
        </w:r>
      </w:hyperlink>
      <w:r>
        <w:t xml:space="preserve"> </w:t>
      </w:r>
      <w:r>
        <w:t xml:space="preserve">https://www.w3.org/news/2025/the-verifiable-credentials-2-0-family-of-specifications-is-now-a-w3c-recommendation/</w:t>
      </w:r>
    </w:p>
    <w:p>
      <w:pPr>
        <w:pStyle w:val="BodyText"/>
      </w:pPr>
      <w:hyperlink r:id="rId35">
        <w:r>
          <w:rPr>
            <w:rStyle w:val="Hyperlink"/>
          </w:rPr>
          <w:t xml:space="preserve">https://www.w3.org/news/2025/the-verifiable-credentials-2-0-family-of-specifications-is-now-a-w3c-recommendation/</w:t>
        </w:r>
      </w:hyperlink>
    </w:p>
    <w:p>
      <w:pPr>
        <w:pStyle w:val="BodyText"/>
      </w:pPr>
      <w:hyperlink r:id="rId37">
        <w:r>
          <w:rPr>
            <w:rStyle w:val="Hyperlink"/>
          </w:rPr>
          <w:t xml:space="preserve">[21]</w:t>
        </w:r>
      </w:hyperlink>
      <w:r>
        <w:t xml:space="preserve"> </w:t>
      </w:r>
      <w:r>
        <w:t xml:space="preserve">https://account.datascience.codata.org/index.php/up-j-dsj/article/view/dsj-2020-043</w:t>
      </w:r>
    </w:p>
    <w:p>
      <w:pPr>
        <w:pStyle w:val="BodyText"/>
      </w:pPr>
      <w:hyperlink r:id="rId37">
        <w:r>
          <w:rPr>
            <w:rStyle w:val="Hyperlink"/>
          </w:rPr>
          <w:t xml:space="preserve">https://account.datascience.codata.org/index.php/up-j-dsj/article/view/dsj-2020-043</w:t>
        </w:r>
      </w:hyperlink>
    </w:p>
    <w:p>
      <w:pPr>
        <w:pStyle w:val="BodyText"/>
      </w:pPr>
      <w:hyperlink r:id="rId39">
        <w:r>
          <w:rPr>
            <w:rStyle w:val="Hyperlink"/>
          </w:rPr>
          <w:t xml:space="preserve">[22]</w:t>
        </w:r>
      </w:hyperlink>
      <w:r>
        <w:t xml:space="preserve"> </w:t>
      </w:r>
      <w:r>
        <w:t xml:space="preserve">https://www.unesco.org/ar/artificial-intelligence/recommendation-ethics</w:t>
      </w:r>
    </w:p>
    <w:p>
      <w:pPr>
        <w:pStyle w:val="BodyText"/>
      </w:pPr>
      <w:hyperlink r:id="rId39">
        <w:r>
          <w:rPr>
            <w:rStyle w:val="Hyperlink"/>
          </w:rPr>
          <w:t xml:space="preserve">https://www.unesco.org/ar/artificial-intelligence/recommendation-ethics</w:t>
        </w:r>
      </w:hyperlink>
    </w:p>
    <w:p>
      <w:pPr>
        <w:pStyle w:val="BodyText"/>
      </w:pPr>
      <w:hyperlink r:id="rId48">
        <w:r>
          <w:rPr>
            <w:rStyle w:val="Hyperlink"/>
          </w:rPr>
          <w:t xml:space="preserve">[25]</w:t>
        </w:r>
      </w:hyperlink>
      <w:r>
        <w:t xml:space="preserve"> </w:t>
      </w:r>
      <w:r>
        <w:t xml:space="preserve">https://www.iea.org/reports/energy-and-ai/executive-summary%C2%A0</w:t>
      </w:r>
    </w:p>
    <w:p>
      <w:pPr>
        <w:pStyle w:val="BodyText"/>
      </w:pPr>
      <w:hyperlink r:id="rId48">
        <w:r>
          <w:rPr>
            <w:rStyle w:val="Hyperlink"/>
          </w:rPr>
          <w:t xml:space="preserve">https://www.iea.org/reports/energy-and-ai/executive-summary%C2%A0</w:t>
        </w:r>
      </w:hyperlink>
    </w:p>
    <w:bookmarkEnd w:id="5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7" Target="https://account.datascience.codata.org/index.php/up-j-dsj/article/view/dsj-2020-043" TargetMode="External" /><Relationship Type="http://schemas.openxmlformats.org/officeDocument/2006/relationships/hyperlink" Id="rId12" Target="https://au.finance.yahoo.com/news/super-micro-tumbles-10-reported-120411450.html/" TargetMode="External" /><Relationship Type="http://schemas.openxmlformats.org/officeDocument/2006/relationships/hyperlink" Id="rId28" Target="https://au.finance.yahoo.com/news/wolfe-lifts-nvidia-target-25-145211736.html" TargetMode="External" /><Relationship Type="http://schemas.openxmlformats.org/officeDocument/2006/relationships/hyperlink" Id="rId21" Target="https://auraofintelligence.github.io/strange-but-true/community-ledger.html" TargetMode="External" /><Relationship Type="http://schemas.openxmlformats.org/officeDocument/2006/relationships/hyperlink" Id="rId17" Target="https://docs.nvidia.com/enterprise-reference-architectures/nvl72-ai-factory/latest/components.html" TargetMode="External" /><Relationship Type="http://schemas.openxmlformats.org/officeDocument/2006/relationships/hyperlink" Id="rId14" Target="https://hai.stanford.edu/ai-index/2026-ai-index-report/research-and-development" TargetMode="External" /><Relationship Type="http://schemas.openxmlformats.org/officeDocument/2006/relationships/hyperlink" Id="rId19" Target="https://pubmed.ncbi.nlm.nih.gov/41920919/" TargetMode="External" /><Relationship Type="http://schemas.openxmlformats.org/officeDocument/2006/relationships/hyperlink" Id="rId18" Target="https://www.abs.gov.au/statistics/people/people-and-communities/how-australians-use-their-time/2024" TargetMode="External" /><Relationship Type="http://schemas.openxmlformats.org/officeDocument/2006/relationships/hyperlink" Id="rId25" Target="https://www.bis.gov/" TargetMode="External" /><Relationship Type="http://schemas.openxmlformats.org/officeDocument/2006/relationships/hyperlink" Id="rId20" Target="https://www.business.qld.gov.au/running-business/support-services/financial/grants/local-digital-priority-projects" TargetMode="External" /><Relationship Type="http://schemas.openxmlformats.org/officeDocument/2006/relationships/hyperlink" Id="rId10" Target="https://www.csiro.au/en/news/All/News/2026/May/Vetra-AI-infrastructure" TargetMode="External" /><Relationship Type="http://schemas.openxmlformats.org/officeDocument/2006/relationships/hyperlink" Id="rId24" Target="https://www.iea.org/reports/energy-and-ai/energy-demand-from-ai" TargetMode="External" /><Relationship Type="http://schemas.openxmlformats.org/officeDocument/2006/relationships/hyperlink" Id="rId48" Target="https://www.iea.org/reports/energy-and-ai/executive-summary%C2%A0" TargetMode="External" /><Relationship Type="http://schemas.openxmlformats.org/officeDocument/2006/relationships/hyperlink" Id="rId23" Target="https://www.industry.gov.au/publications/expectations-data-centres-and-ai-infrastructure-developers" TargetMode="External" /><Relationship Type="http://schemas.openxmlformats.org/officeDocument/2006/relationships/hyperlink" Id="rId16" Target="https://www.industry.gov.au/publications/national-ai-plan" TargetMode="External" /><Relationship Type="http://schemas.openxmlformats.org/officeDocument/2006/relationships/hyperlink" Id="rId11" Target="https://www.nvidia.com/en-au/data-center/gb300-nvl72/" TargetMode="External" /><Relationship Type="http://schemas.openxmlformats.org/officeDocument/2006/relationships/hyperlink" Id="rId13" Target="https://www.rba.gov.au/exchange-rates-overview.html" TargetMode="External" /><Relationship Type="http://schemas.openxmlformats.org/officeDocument/2006/relationships/hyperlink" Id="rId30" Target="https://www.un.org/global-digital-compact/en" TargetMode="External" /><Relationship Type="http://schemas.openxmlformats.org/officeDocument/2006/relationships/hyperlink" Id="rId39" Target="https://www.unesco.org/ar/artificial-intelligence/recommendation-ethics" TargetMode="External" /><Relationship Type="http://schemas.openxmlformats.org/officeDocument/2006/relationships/hyperlink" Id="rId35" Target="https://www.w3.org/news/2025/the-verifiable-credentials-2-0-family-of-specifications-is-now-a-w3c-recommendation/" TargetMode="External" /></Relationships>
</file>

<file path=word/_rels/footnotes.xml.rels><?xml version="1.0" encoding="UTF-8"?><Relationships xmlns="http://schemas.openxmlformats.org/package/2006/relationships"><Relationship Type="http://schemas.openxmlformats.org/officeDocument/2006/relationships/hyperlink" Id="rId37" Target="https://account.datascience.codata.org/index.php/up-j-dsj/article/view/dsj-2020-043" TargetMode="External" /><Relationship Type="http://schemas.openxmlformats.org/officeDocument/2006/relationships/hyperlink" Id="rId12" Target="https://au.finance.yahoo.com/news/super-micro-tumbles-10-reported-120411450.html/" TargetMode="External" /><Relationship Type="http://schemas.openxmlformats.org/officeDocument/2006/relationships/hyperlink" Id="rId28" Target="https://au.finance.yahoo.com/news/wolfe-lifts-nvidia-target-25-145211736.html" TargetMode="External" /><Relationship Type="http://schemas.openxmlformats.org/officeDocument/2006/relationships/hyperlink" Id="rId21" Target="https://auraofintelligence.github.io/strange-but-true/community-ledger.html" TargetMode="External" /><Relationship Type="http://schemas.openxmlformats.org/officeDocument/2006/relationships/hyperlink" Id="rId17" Target="https://docs.nvidia.com/enterprise-reference-architectures/nvl72-ai-factory/latest/components.html" TargetMode="External" /><Relationship Type="http://schemas.openxmlformats.org/officeDocument/2006/relationships/hyperlink" Id="rId14" Target="https://hai.stanford.edu/ai-index/2026-ai-index-report/research-and-development" TargetMode="External" /><Relationship Type="http://schemas.openxmlformats.org/officeDocument/2006/relationships/hyperlink" Id="rId19" Target="https://pubmed.ncbi.nlm.nih.gov/41920919/" TargetMode="External" /><Relationship Type="http://schemas.openxmlformats.org/officeDocument/2006/relationships/hyperlink" Id="rId18" Target="https://www.abs.gov.au/statistics/people/people-and-communities/how-australians-use-their-time/2024" TargetMode="External" /><Relationship Type="http://schemas.openxmlformats.org/officeDocument/2006/relationships/hyperlink" Id="rId25" Target="https://www.bis.gov/" TargetMode="External" /><Relationship Type="http://schemas.openxmlformats.org/officeDocument/2006/relationships/hyperlink" Id="rId20" Target="https://www.business.qld.gov.au/running-business/support-services/financial/grants/local-digital-priority-projects" TargetMode="External" /><Relationship Type="http://schemas.openxmlformats.org/officeDocument/2006/relationships/hyperlink" Id="rId10" Target="https://www.csiro.au/en/news/All/News/2026/May/Vetra-AI-infrastructure" TargetMode="External" /><Relationship Type="http://schemas.openxmlformats.org/officeDocument/2006/relationships/hyperlink" Id="rId24" Target="https://www.iea.org/reports/energy-and-ai/energy-demand-from-ai" TargetMode="External" /><Relationship Type="http://schemas.openxmlformats.org/officeDocument/2006/relationships/hyperlink" Id="rId48" Target="https://www.iea.org/reports/energy-and-ai/executive-summary%C2%A0" TargetMode="External" /><Relationship Type="http://schemas.openxmlformats.org/officeDocument/2006/relationships/hyperlink" Id="rId23" Target="https://www.industry.gov.au/publications/expectations-data-centres-and-ai-infrastructure-developers" TargetMode="External" /><Relationship Type="http://schemas.openxmlformats.org/officeDocument/2006/relationships/hyperlink" Id="rId16" Target="https://www.industry.gov.au/publications/national-ai-plan" TargetMode="External" /><Relationship Type="http://schemas.openxmlformats.org/officeDocument/2006/relationships/hyperlink" Id="rId11" Target="https://www.nvidia.com/en-au/data-center/gb300-nvl72/" TargetMode="External" /><Relationship Type="http://schemas.openxmlformats.org/officeDocument/2006/relationships/hyperlink" Id="rId13" Target="https://www.rba.gov.au/exchange-rates-overview.html" TargetMode="External" /><Relationship Type="http://schemas.openxmlformats.org/officeDocument/2006/relationships/hyperlink" Id="rId30" Target="https://www.un.org/global-digital-compact/en" TargetMode="External" /><Relationship Type="http://schemas.openxmlformats.org/officeDocument/2006/relationships/hyperlink" Id="rId39" Target="https://www.unesco.org/ar/artificial-intelligence/recommendation-ethics" TargetMode="External" /><Relationship Type="http://schemas.openxmlformats.org/officeDocument/2006/relationships/hyperlink" Id="rId35" Target="https://www.w3.org/news/2025/the-verifiable-credentials-2-0-family-of-specifications-is-now-a-w3c-recommend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